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D9" w:rsidRPr="00E60D47" w:rsidRDefault="00C152EA" w:rsidP="004F32D9">
      <w:pPr>
        <w:rPr>
          <w:b/>
        </w:rPr>
      </w:pPr>
      <w:bookmarkStart w:id="0" w:name="_GoBack"/>
      <w:r>
        <w:rPr>
          <w:b/>
        </w:rPr>
        <w:t xml:space="preserve">UN HABITAT </w:t>
      </w:r>
      <w:r w:rsidR="006B1350" w:rsidRPr="00E60D47">
        <w:rPr>
          <w:b/>
        </w:rPr>
        <w:t>RESULTS FRAMEWORK</w:t>
      </w:r>
      <w:r w:rsidR="009725D4">
        <w:rPr>
          <w:b/>
        </w:rPr>
        <w:t xml:space="preserve"> </w:t>
      </w:r>
      <w:r w:rsidR="00B6730C">
        <w:rPr>
          <w:b/>
        </w:rPr>
        <w:t>2014 – 2019</w:t>
      </w:r>
      <w:r w:rsidR="00775C49">
        <w:rPr>
          <w:b/>
        </w:rPr>
        <w:t xml:space="preserve">   </w:t>
      </w:r>
      <w:r w:rsidR="004F32D9">
        <w:rPr>
          <w:b/>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7"/>
        <w:gridCol w:w="1984"/>
        <w:gridCol w:w="2125"/>
        <w:gridCol w:w="2124"/>
        <w:gridCol w:w="1820"/>
        <w:gridCol w:w="1828"/>
        <w:gridCol w:w="1893"/>
        <w:gridCol w:w="2168"/>
        <w:gridCol w:w="571"/>
      </w:tblGrid>
      <w:tr w:rsidR="00775C49" w:rsidRPr="00C42C8E" w:rsidTr="00EE6BBB">
        <w:tc>
          <w:tcPr>
            <w:tcW w:w="1094" w:type="dxa"/>
            <w:tcBorders>
              <w:top w:val="single" w:sz="4" w:space="0" w:color="auto"/>
              <w:bottom w:val="single" w:sz="4" w:space="0" w:color="auto"/>
            </w:tcBorders>
          </w:tcPr>
          <w:bookmarkEnd w:id="0"/>
          <w:p w:rsidR="00D94B67" w:rsidRPr="00C42C8E" w:rsidRDefault="00D94B67">
            <w:pPr>
              <w:rPr>
                <w:b/>
                <w:sz w:val="20"/>
                <w:szCs w:val="20"/>
              </w:rPr>
            </w:pPr>
            <w:r w:rsidRPr="00C42C8E">
              <w:rPr>
                <w:b/>
                <w:sz w:val="20"/>
                <w:szCs w:val="20"/>
              </w:rPr>
              <w:t>Goal</w:t>
            </w:r>
          </w:p>
        </w:tc>
        <w:tc>
          <w:tcPr>
            <w:tcW w:w="14520" w:type="dxa"/>
            <w:gridSpan w:val="9"/>
            <w:tcBorders>
              <w:top w:val="single" w:sz="4" w:space="0" w:color="auto"/>
              <w:bottom w:val="single" w:sz="4" w:space="0" w:color="auto"/>
            </w:tcBorders>
          </w:tcPr>
          <w:p w:rsidR="00D94B67" w:rsidRPr="00C42C8E" w:rsidRDefault="00D94B67">
            <w:r w:rsidRPr="00C42C8E">
              <w:t>Environmentally, economically, and socially sustainable, gender sensitive and inclusive urban development policies implemented by national, regional and local authorities have improved the standard of living of the urban poor and enhanced their participation in the social economic life of the city.</w:t>
            </w:r>
          </w:p>
          <w:p w:rsidR="00F63D73" w:rsidRPr="00C42C8E" w:rsidRDefault="00F63D73"/>
        </w:tc>
      </w:tr>
      <w:tr w:rsidR="00775C49" w:rsidRPr="00C42C8E" w:rsidTr="00EE6BBB">
        <w:tc>
          <w:tcPr>
            <w:tcW w:w="1094" w:type="dxa"/>
            <w:tcBorders>
              <w:top w:val="single" w:sz="4" w:space="0" w:color="auto"/>
            </w:tcBorders>
          </w:tcPr>
          <w:p w:rsidR="00D94B67" w:rsidRPr="00C42C8E" w:rsidRDefault="00D94B67">
            <w:pPr>
              <w:rPr>
                <w:b/>
                <w:sz w:val="20"/>
                <w:szCs w:val="20"/>
                <w:u w:val="single"/>
              </w:rPr>
            </w:pPr>
            <w:r w:rsidRPr="00C42C8E">
              <w:rPr>
                <w:b/>
                <w:sz w:val="20"/>
                <w:szCs w:val="20"/>
                <w:u w:val="single"/>
              </w:rPr>
              <w:t>Indicators</w:t>
            </w:r>
          </w:p>
        </w:tc>
        <w:tc>
          <w:tcPr>
            <w:tcW w:w="14520" w:type="dxa"/>
            <w:gridSpan w:val="9"/>
            <w:tcBorders>
              <w:top w:val="single" w:sz="4" w:space="0" w:color="auto"/>
            </w:tcBorders>
          </w:tcPr>
          <w:p w:rsidR="00D94B67" w:rsidRPr="00C42C8E" w:rsidRDefault="002608CD" w:rsidP="0059060F">
            <w:pPr>
              <w:pStyle w:val="ListParagraph"/>
              <w:numPr>
                <w:ilvl w:val="0"/>
                <w:numId w:val="66"/>
              </w:numPr>
            </w:pPr>
            <w:r w:rsidRPr="00C42C8E">
              <w:t>Percent</w:t>
            </w:r>
            <w:r w:rsidR="00D94B67" w:rsidRPr="00C42C8E">
              <w:t>a</w:t>
            </w:r>
            <w:r w:rsidRPr="00C42C8E">
              <w:t>ge of people living in slums, disag</w:t>
            </w:r>
            <w:r w:rsidR="00D94B67" w:rsidRPr="00C42C8E">
              <w:t>gregated by gender</w:t>
            </w:r>
          </w:p>
          <w:p w:rsidR="00C67570" w:rsidRPr="00C42C8E" w:rsidRDefault="00C67570" w:rsidP="00C67570"/>
          <w:p w:rsidR="00D94B67" w:rsidRPr="00C42C8E" w:rsidRDefault="002608CD" w:rsidP="0059060F">
            <w:pPr>
              <w:pStyle w:val="ListParagraph"/>
              <w:numPr>
                <w:ilvl w:val="0"/>
                <w:numId w:val="66"/>
              </w:numPr>
            </w:pPr>
            <w:r w:rsidRPr="00C42C8E">
              <w:t>Percent</w:t>
            </w:r>
            <w:r w:rsidR="00D94B67" w:rsidRPr="00C42C8E">
              <w:t>age of urban population with access to adequate housing</w:t>
            </w:r>
          </w:p>
          <w:p w:rsidR="00C67570" w:rsidRPr="00C42C8E" w:rsidRDefault="00C67570" w:rsidP="00C67570"/>
          <w:p w:rsidR="00D94B67" w:rsidRPr="00C42C8E" w:rsidRDefault="002608CD" w:rsidP="0059060F">
            <w:pPr>
              <w:pStyle w:val="ListParagraph"/>
              <w:numPr>
                <w:ilvl w:val="0"/>
                <w:numId w:val="66"/>
              </w:numPr>
            </w:pPr>
            <w:r w:rsidRPr="00C42C8E">
              <w:t>Percent</w:t>
            </w:r>
            <w:r w:rsidR="00D94B67" w:rsidRPr="00C42C8E">
              <w:t xml:space="preserve"> age of people residing in urban areas with access to safe drinking water, adequate sanitation, and regular waste collection services, clean domestic</w:t>
            </w:r>
            <w:r w:rsidRPr="00C42C8E">
              <w:t xml:space="preserve"> energy and public transport, disag</w:t>
            </w:r>
            <w:r w:rsidR="00D94B67" w:rsidRPr="00C42C8E">
              <w:t>gregated by gender</w:t>
            </w:r>
          </w:p>
          <w:p w:rsidR="00C67570" w:rsidRPr="00C42C8E" w:rsidRDefault="00C67570" w:rsidP="00C67570"/>
          <w:p w:rsidR="00D94B67" w:rsidRPr="00C42C8E" w:rsidRDefault="00D94B67" w:rsidP="0059060F">
            <w:pPr>
              <w:pStyle w:val="ListParagraph"/>
              <w:numPr>
                <w:ilvl w:val="0"/>
                <w:numId w:val="66"/>
              </w:numPr>
            </w:pPr>
            <w:r w:rsidRPr="00C42C8E">
              <w:t>Number of city, regional and national authorities that have implemented urban policies supportive of local economic development and creation of decent jobs and livelihoods</w:t>
            </w:r>
          </w:p>
          <w:p w:rsidR="00C67570" w:rsidRPr="00C42C8E" w:rsidRDefault="00C67570" w:rsidP="00C67570"/>
          <w:p w:rsidR="00D94B67" w:rsidRPr="00C42C8E" w:rsidRDefault="00D94B67" w:rsidP="0059060F">
            <w:pPr>
              <w:pStyle w:val="ListParagraph"/>
              <w:numPr>
                <w:ilvl w:val="0"/>
                <w:numId w:val="66"/>
              </w:numPr>
            </w:pPr>
            <w:r w:rsidRPr="00C42C8E">
              <w:t>Number of city and regional authorities that have implemented sustainable urban plans and designs that are inclusive and respond to urban population growth adequately</w:t>
            </w:r>
          </w:p>
        </w:tc>
      </w:tr>
      <w:tr w:rsidR="00775C49" w:rsidRPr="00B6730C" w:rsidTr="00EE6BBB">
        <w:trPr>
          <w:gridAfter w:val="1"/>
          <w:wAfter w:w="571" w:type="dxa"/>
          <w:trHeight w:val="97"/>
        </w:trPr>
        <w:tc>
          <w:tcPr>
            <w:tcW w:w="1101" w:type="dxa"/>
            <w:gridSpan w:val="2"/>
            <w:tcBorders>
              <w:bottom w:val="single" w:sz="4" w:space="0" w:color="auto"/>
            </w:tcBorders>
          </w:tcPr>
          <w:p w:rsidR="00D94B67" w:rsidRPr="00B6730C" w:rsidRDefault="00D94B67">
            <w:pPr>
              <w:rPr>
                <w:sz w:val="20"/>
                <w:szCs w:val="20"/>
              </w:rPr>
            </w:pPr>
          </w:p>
        </w:tc>
        <w:tc>
          <w:tcPr>
            <w:tcW w:w="13942" w:type="dxa"/>
            <w:gridSpan w:val="7"/>
            <w:tcBorders>
              <w:bottom w:val="single" w:sz="4" w:space="0" w:color="auto"/>
            </w:tcBorders>
          </w:tcPr>
          <w:p w:rsidR="00D94B67" w:rsidRPr="00B6730C" w:rsidRDefault="00D94B67">
            <w:pPr>
              <w:rPr>
                <w:sz w:val="20"/>
                <w:szCs w:val="20"/>
              </w:rPr>
            </w:pPr>
          </w:p>
        </w:tc>
      </w:tr>
      <w:tr w:rsidR="00775C49" w:rsidRPr="00B6730C" w:rsidTr="00EE6BBB">
        <w:trPr>
          <w:gridAfter w:val="1"/>
          <w:wAfter w:w="571" w:type="dxa"/>
        </w:trPr>
        <w:tc>
          <w:tcPr>
            <w:tcW w:w="1101" w:type="dxa"/>
            <w:gridSpan w:val="2"/>
            <w:tcBorders>
              <w:top w:val="single" w:sz="4" w:space="0" w:color="auto"/>
              <w:bottom w:val="single" w:sz="4" w:space="0" w:color="auto"/>
            </w:tcBorders>
          </w:tcPr>
          <w:p w:rsidR="004E577C" w:rsidRPr="00B6730C" w:rsidRDefault="004E577C">
            <w:pPr>
              <w:rPr>
                <w:b/>
                <w:sz w:val="20"/>
                <w:szCs w:val="20"/>
              </w:rPr>
            </w:pPr>
            <w:r w:rsidRPr="00B6730C">
              <w:rPr>
                <w:b/>
                <w:sz w:val="20"/>
                <w:szCs w:val="20"/>
              </w:rPr>
              <w:t>Strategic Result</w:t>
            </w:r>
            <w:r w:rsidR="00C67570">
              <w:rPr>
                <w:b/>
                <w:sz w:val="20"/>
                <w:szCs w:val="20"/>
              </w:rPr>
              <w:t>/ Focus A</w:t>
            </w:r>
            <w:r w:rsidR="00BD46E9">
              <w:rPr>
                <w:b/>
                <w:sz w:val="20"/>
                <w:szCs w:val="20"/>
              </w:rPr>
              <w:t>rea</w:t>
            </w:r>
          </w:p>
        </w:tc>
        <w:tc>
          <w:tcPr>
            <w:tcW w:w="1984" w:type="dxa"/>
            <w:tcBorders>
              <w:top w:val="single" w:sz="4" w:space="0" w:color="auto"/>
              <w:bottom w:val="single" w:sz="4" w:space="0" w:color="auto"/>
            </w:tcBorders>
          </w:tcPr>
          <w:p w:rsidR="00C42C8E" w:rsidRPr="00C42C8E" w:rsidRDefault="00C42C8E" w:rsidP="00C42C8E">
            <w:pPr>
              <w:rPr>
                <w:sz w:val="20"/>
                <w:szCs w:val="20"/>
              </w:rPr>
            </w:pPr>
            <w:r w:rsidRPr="00C42C8E">
              <w:rPr>
                <w:sz w:val="20"/>
                <w:szCs w:val="20"/>
              </w:rPr>
              <w:t xml:space="preserve">City, regional and national authorities have adopted enabling legislation and established systems for improved access to land, effective decentralised governance and urban safety that foster sustainable urban development. </w:t>
            </w:r>
          </w:p>
          <w:p w:rsidR="004E577C" w:rsidRPr="00775C49" w:rsidRDefault="004E577C" w:rsidP="00775C49">
            <w:pPr>
              <w:rPr>
                <w:sz w:val="20"/>
                <w:szCs w:val="20"/>
              </w:rPr>
            </w:pPr>
          </w:p>
        </w:tc>
        <w:tc>
          <w:tcPr>
            <w:tcW w:w="2125" w:type="dxa"/>
            <w:tcBorders>
              <w:top w:val="single" w:sz="4" w:space="0" w:color="auto"/>
              <w:bottom w:val="single" w:sz="4" w:space="0" w:color="auto"/>
            </w:tcBorders>
          </w:tcPr>
          <w:p w:rsidR="004E577C" w:rsidRPr="00775C49" w:rsidRDefault="00C42C8E" w:rsidP="00C42C8E">
            <w:pPr>
              <w:ind w:left="294"/>
              <w:rPr>
                <w:sz w:val="20"/>
                <w:szCs w:val="20"/>
              </w:rPr>
            </w:pPr>
            <w:r w:rsidRPr="00C42C8E">
              <w:rPr>
                <w:sz w:val="20"/>
                <w:szCs w:val="20"/>
              </w:rPr>
              <w:t>City, regional and nat</w:t>
            </w:r>
            <w:r>
              <w:rPr>
                <w:sz w:val="20"/>
                <w:szCs w:val="20"/>
              </w:rPr>
              <w:t xml:space="preserve">ional authorities have adopted </w:t>
            </w:r>
            <w:r w:rsidRPr="00C42C8E">
              <w:rPr>
                <w:sz w:val="20"/>
                <w:szCs w:val="20"/>
              </w:rPr>
              <w:t>improved policies, plans and designs for more compact, socially inclusive, better integrated and connected cities that foster sustainable urban development and are resilient to climate change.</w:t>
            </w:r>
          </w:p>
        </w:tc>
        <w:tc>
          <w:tcPr>
            <w:tcW w:w="2124" w:type="dxa"/>
            <w:tcBorders>
              <w:top w:val="single" w:sz="4" w:space="0" w:color="auto"/>
              <w:bottom w:val="single" w:sz="4" w:space="0" w:color="auto"/>
            </w:tcBorders>
          </w:tcPr>
          <w:p w:rsidR="004E577C" w:rsidRPr="00775C49" w:rsidRDefault="004111CD" w:rsidP="00EE6BBB">
            <w:pPr>
              <w:ind w:right="175"/>
              <w:rPr>
                <w:rFonts w:eastAsia="SimSun"/>
                <w:color w:val="000000"/>
                <w:sz w:val="20"/>
                <w:szCs w:val="20"/>
              </w:rPr>
            </w:pPr>
            <w:r w:rsidRPr="004111CD">
              <w:rPr>
                <w:rFonts w:eastAsia="SimSun"/>
                <w:color w:val="000000"/>
                <w:sz w:val="20"/>
                <w:szCs w:val="20"/>
              </w:rPr>
              <w:t>City, regional and national authorities have adopted or implemented improved urban policies and strategies that are supportive of economic development, with particular focus on y</w:t>
            </w:r>
            <w:r>
              <w:rPr>
                <w:rFonts w:eastAsia="SimSun"/>
                <w:color w:val="000000"/>
                <w:sz w:val="20"/>
                <w:szCs w:val="20"/>
              </w:rPr>
              <w:t xml:space="preserve">oung men </w:t>
            </w:r>
            <w:r w:rsidRPr="004111CD">
              <w:rPr>
                <w:rFonts w:eastAsia="SimSun"/>
                <w:color w:val="000000"/>
                <w:sz w:val="20"/>
                <w:szCs w:val="20"/>
              </w:rPr>
              <w:t>and women, and enhanced urban and municipal finance.</w:t>
            </w:r>
          </w:p>
        </w:tc>
        <w:tc>
          <w:tcPr>
            <w:tcW w:w="1820" w:type="dxa"/>
            <w:tcBorders>
              <w:top w:val="single" w:sz="4" w:space="0" w:color="auto"/>
              <w:bottom w:val="single" w:sz="4" w:space="0" w:color="auto"/>
            </w:tcBorders>
          </w:tcPr>
          <w:p w:rsidR="004E577C" w:rsidRPr="00775C49" w:rsidRDefault="00A63968" w:rsidP="00775C49">
            <w:pPr>
              <w:rPr>
                <w:sz w:val="20"/>
                <w:szCs w:val="20"/>
              </w:rPr>
            </w:pPr>
            <w:r w:rsidRPr="00956610">
              <w:rPr>
                <w:sz w:val="20"/>
                <w:szCs w:val="20"/>
              </w:rPr>
              <w:t>City, regional and national authorities have implemented policies for increasing equitable access to urban basic services and improving the standard of living of the urban poor.</w:t>
            </w:r>
          </w:p>
        </w:tc>
        <w:tc>
          <w:tcPr>
            <w:tcW w:w="1828" w:type="dxa"/>
            <w:tcBorders>
              <w:top w:val="single" w:sz="4" w:space="0" w:color="auto"/>
              <w:bottom w:val="single" w:sz="4" w:space="0" w:color="auto"/>
            </w:tcBorders>
          </w:tcPr>
          <w:p w:rsidR="004E577C" w:rsidRPr="00775C49" w:rsidRDefault="006B65C3" w:rsidP="006B65C3">
            <w:pPr>
              <w:rPr>
                <w:sz w:val="20"/>
                <w:szCs w:val="20"/>
              </w:rPr>
            </w:pPr>
            <w:r w:rsidRPr="006B65C3">
              <w:rPr>
                <w:sz w:val="20"/>
                <w:szCs w:val="20"/>
              </w:rPr>
              <w:t>Local, national and regional authorities have implemented policies for sustainable and inclusive housing, slum upgrading and prevention</w:t>
            </w:r>
          </w:p>
        </w:tc>
        <w:tc>
          <w:tcPr>
            <w:tcW w:w="1893" w:type="dxa"/>
            <w:tcBorders>
              <w:top w:val="single" w:sz="4" w:space="0" w:color="auto"/>
              <w:bottom w:val="single" w:sz="4" w:space="0" w:color="auto"/>
            </w:tcBorders>
          </w:tcPr>
          <w:p w:rsidR="004E577C" w:rsidRPr="00775C49" w:rsidRDefault="00D32A8F" w:rsidP="00775C49">
            <w:pPr>
              <w:rPr>
                <w:sz w:val="20"/>
                <w:szCs w:val="20"/>
              </w:rPr>
            </w:pPr>
            <w:r w:rsidRPr="00D32A8F">
              <w:rPr>
                <w:sz w:val="20"/>
                <w:szCs w:val="20"/>
              </w:rPr>
              <w:t>Cities have increased their resilience to the impacts of natural and human-made crises and undertaken rehabilitation in ways that advance sustainable urban development</w:t>
            </w:r>
          </w:p>
        </w:tc>
        <w:tc>
          <w:tcPr>
            <w:tcW w:w="2168" w:type="dxa"/>
            <w:tcBorders>
              <w:top w:val="single" w:sz="4" w:space="0" w:color="auto"/>
              <w:bottom w:val="single" w:sz="4" w:space="0" w:color="auto"/>
            </w:tcBorders>
          </w:tcPr>
          <w:p w:rsidR="004E577C" w:rsidRPr="00775C49" w:rsidRDefault="006B65C3" w:rsidP="00775C49">
            <w:pPr>
              <w:rPr>
                <w:sz w:val="20"/>
                <w:szCs w:val="20"/>
              </w:rPr>
            </w:pPr>
            <w:r w:rsidRPr="006B65C3">
              <w:rPr>
                <w:sz w:val="20"/>
                <w:szCs w:val="20"/>
              </w:rPr>
              <w:t>Key actors at local, national  and global levels acquire increased  knowledge on sustainable urbanisation issues and enhanced capacity for monitoring urban conditions as well as for formulation and implementation of evidence-based policies and programmes</w:t>
            </w:r>
          </w:p>
        </w:tc>
      </w:tr>
    </w:tbl>
    <w:p w:rsidR="00EE6BBB" w:rsidRDefault="00EE6BB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50"/>
        <w:gridCol w:w="2281"/>
        <w:gridCol w:w="2088"/>
        <w:gridCol w:w="1855"/>
        <w:gridCol w:w="1883"/>
        <w:gridCol w:w="1946"/>
        <w:gridCol w:w="862"/>
        <w:gridCol w:w="862"/>
      </w:tblGrid>
      <w:tr w:rsidR="006A2926" w:rsidRPr="00B6730C" w:rsidTr="00EE6BBB">
        <w:tc>
          <w:tcPr>
            <w:tcW w:w="1242" w:type="dxa"/>
            <w:tcBorders>
              <w:top w:val="single" w:sz="4" w:space="0" w:color="auto"/>
            </w:tcBorders>
          </w:tcPr>
          <w:p w:rsidR="004E577C" w:rsidRPr="00B6730C" w:rsidRDefault="009272B3">
            <w:pPr>
              <w:rPr>
                <w:b/>
                <w:sz w:val="20"/>
                <w:szCs w:val="20"/>
              </w:rPr>
            </w:pPr>
            <w:r>
              <w:lastRenderedPageBreak/>
              <w:br w:type="page"/>
            </w:r>
            <w:r w:rsidR="004E577C" w:rsidRPr="00B6730C">
              <w:rPr>
                <w:b/>
                <w:sz w:val="20"/>
                <w:szCs w:val="20"/>
              </w:rPr>
              <w:t xml:space="preserve">Expected </w:t>
            </w:r>
            <w:proofErr w:type="spellStart"/>
            <w:r w:rsidR="004E577C" w:rsidRPr="00B6730C">
              <w:rPr>
                <w:b/>
                <w:sz w:val="20"/>
                <w:szCs w:val="20"/>
              </w:rPr>
              <w:t>Accom</w:t>
            </w:r>
            <w:r w:rsidR="00EE6BBB">
              <w:rPr>
                <w:b/>
                <w:sz w:val="20"/>
                <w:szCs w:val="20"/>
              </w:rPr>
              <w:t>-</w:t>
            </w:r>
            <w:r w:rsidR="004E577C" w:rsidRPr="00B6730C">
              <w:rPr>
                <w:b/>
                <w:sz w:val="20"/>
                <w:szCs w:val="20"/>
              </w:rPr>
              <w:t>plishment</w:t>
            </w:r>
            <w:proofErr w:type="spellEnd"/>
          </w:p>
        </w:tc>
        <w:tc>
          <w:tcPr>
            <w:tcW w:w="2450" w:type="dxa"/>
            <w:tcBorders>
              <w:top w:val="single" w:sz="4" w:space="0" w:color="auto"/>
            </w:tcBorders>
          </w:tcPr>
          <w:p w:rsidR="004E577C" w:rsidRPr="00775C49" w:rsidRDefault="00656F14" w:rsidP="00EE6BBB">
            <w:pPr>
              <w:ind w:left="-108"/>
              <w:rPr>
                <w:sz w:val="20"/>
                <w:szCs w:val="20"/>
              </w:rPr>
            </w:pPr>
            <w:r w:rsidRPr="00775C49">
              <w:rPr>
                <w:sz w:val="20"/>
                <w:szCs w:val="20"/>
              </w:rPr>
              <w:t xml:space="preserve">Increased capacity of local and national governments and other UN Habitat Agenda Partners to implement enabling legislation </w:t>
            </w:r>
            <w:r w:rsidR="00E63C50">
              <w:rPr>
                <w:sz w:val="20"/>
                <w:szCs w:val="20"/>
              </w:rPr>
              <w:t xml:space="preserve">for </w:t>
            </w:r>
            <w:r w:rsidRPr="00775C49">
              <w:rPr>
                <w:sz w:val="20"/>
                <w:szCs w:val="20"/>
              </w:rPr>
              <w:t>improv</w:t>
            </w:r>
            <w:r w:rsidR="00E63C50">
              <w:rPr>
                <w:sz w:val="20"/>
                <w:szCs w:val="20"/>
              </w:rPr>
              <w:t>ing</w:t>
            </w:r>
            <w:r w:rsidRPr="00775C49">
              <w:rPr>
                <w:sz w:val="20"/>
                <w:szCs w:val="20"/>
              </w:rPr>
              <w:t xml:space="preserve"> urban extension, densification, urban planning and local government finance</w:t>
            </w:r>
          </w:p>
          <w:p w:rsidR="00A03856" w:rsidRPr="00B6730C" w:rsidRDefault="00A03856" w:rsidP="00A03856">
            <w:pPr>
              <w:pStyle w:val="ListParagraph"/>
              <w:ind w:left="360"/>
              <w:rPr>
                <w:sz w:val="20"/>
                <w:szCs w:val="20"/>
              </w:rPr>
            </w:pPr>
          </w:p>
          <w:p w:rsidR="00C42C8E" w:rsidRDefault="001F31CD" w:rsidP="00C42C8E">
            <w:pPr>
              <w:ind w:left="-108"/>
              <w:rPr>
                <w:sz w:val="20"/>
                <w:szCs w:val="20"/>
              </w:rPr>
            </w:pPr>
            <w:r w:rsidRPr="00775C49">
              <w:rPr>
                <w:sz w:val="20"/>
                <w:szCs w:val="20"/>
              </w:rPr>
              <w:t>Increased capacity of local and national governments and other UN Habitat Agenda Partners to implement programmes that improve security of tenure of vulnerable groups including women, youth, indigenous people and minorities</w:t>
            </w:r>
          </w:p>
          <w:p w:rsidR="00C42C8E" w:rsidRDefault="00C42C8E" w:rsidP="00C42C8E">
            <w:pPr>
              <w:ind w:left="-108"/>
              <w:rPr>
                <w:sz w:val="20"/>
                <w:szCs w:val="20"/>
              </w:rPr>
            </w:pPr>
          </w:p>
          <w:p w:rsidR="001F31CD" w:rsidRPr="00775C49" w:rsidRDefault="002A640F" w:rsidP="00C42C8E">
            <w:pPr>
              <w:ind w:left="-108"/>
              <w:rPr>
                <w:sz w:val="20"/>
                <w:szCs w:val="20"/>
              </w:rPr>
            </w:pPr>
            <w:r w:rsidRPr="00775C49">
              <w:rPr>
                <w:sz w:val="20"/>
                <w:szCs w:val="20"/>
              </w:rPr>
              <w:t>Local and national governments and other Habitat Agenda Partners improved policies, plans and strategies that contribute to strengthen effective decentralised governance, inclusive urban management and safety</w:t>
            </w:r>
          </w:p>
        </w:tc>
        <w:tc>
          <w:tcPr>
            <w:tcW w:w="2281" w:type="dxa"/>
            <w:tcBorders>
              <w:top w:val="single" w:sz="4" w:space="0" w:color="auto"/>
            </w:tcBorders>
          </w:tcPr>
          <w:p w:rsidR="00C42C8E" w:rsidRPr="00C42C8E" w:rsidRDefault="00C42C8E" w:rsidP="00C42C8E">
            <w:pPr>
              <w:rPr>
                <w:sz w:val="20"/>
                <w:szCs w:val="20"/>
              </w:rPr>
            </w:pPr>
            <w:r w:rsidRPr="00C42C8E">
              <w:rPr>
                <w:sz w:val="20"/>
                <w:szCs w:val="20"/>
              </w:rPr>
              <w:t xml:space="preserve">Improved national urban policies and spatial frameworks for  systems of compact, socially inclusive, integrated and connected cities adopted by partner metropolitan, regional and national authorities </w:t>
            </w:r>
          </w:p>
          <w:p w:rsidR="00676252" w:rsidRDefault="00676252" w:rsidP="00676252">
            <w:pPr>
              <w:pStyle w:val="ListParagraph"/>
              <w:ind w:left="360"/>
              <w:rPr>
                <w:sz w:val="20"/>
                <w:szCs w:val="20"/>
              </w:rPr>
            </w:pPr>
          </w:p>
          <w:p w:rsidR="004E577C" w:rsidRPr="00775C49" w:rsidRDefault="004111CD" w:rsidP="00775C49">
            <w:pPr>
              <w:rPr>
                <w:sz w:val="20"/>
                <w:szCs w:val="20"/>
              </w:rPr>
            </w:pPr>
            <w:r w:rsidRPr="004111CD">
              <w:rPr>
                <w:sz w:val="20"/>
                <w:szCs w:val="20"/>
              </w:rPr>
              <w:t>Improved policies, plans and designs for compact, socially inclusive, integrated and connected cities and neighbourhoods adopted by partner cities</w:t>
            </w:r>
          </w:p>
          <w:p w:rsidR="004D04EB" w:rsidRPr="00B6730C" w:rsidRDefault="004D04EB" w:rsidP="004D04EB">
            <w:pPr>
              <w:pStyle w:val="ListParagraph"/>
              <w:ind w:left="360"/>
              <w:rPr>
                <w:sz w:val="20"/>
                <w:szCs w:val="20"/>
              </w:rPr>
            </w:pPr>
          </w:p>
          <w:p w:rsidR="004E577C" w:rsidRPr="00775C49" w:rsidRDefault="004111CD" w:rsidP="00775C49">
            <w:pPr>
              <w:rPr>
                <w:sz w:val="20"/>
                <w:szCs w:val="20"/>
              </w:rPr>
            </w:pPr>
            <w:r w:rsidRPr="004111CD">
              <w:rPr>
                <w:sz w:val="20"/>
                <w:szCs w:val="20"/>
              </w:rPr>
              <w:t>Improved policies, plans and strategies that contribute to the mitigation of and adaptation to climate change adopted by partner city, regional and national authorities</w:t>
            </w:r>
          </w:p>
        </w:tc>
        <w:tc>
          <w:tcPr>
            <w:tcW w:w="2088" w:type="dxa"/>
            <w:tcBorders>
              <w:top w:val="single" w:sz="4" w:space="0" w:color="auto"/>
            </w:tcBorders>
          </w:tcPr>
          <w:p w:rsidR="004E577C" w:rsidRPr="00775C49" w:rsidRDefault="004111CD" w:rsidP="00775C49">
            <w:pPr>
              <w:rPr>
                <w:sz w:val="20"/>
                <w:szCs w:val="20"/>
              </w:rPr>
            </w:pPr>
            <w:r w:rsidRPr="004111CD">
              <w:rPr>
                <w:sz w:val="20"/>
                <w:szCs w:val="20"/>
              </w:rPr>
              <w:t>Improved capacity of partner cities to adopt strategies that are supportive of inclusive economic growth</w:t>
            </w:r>
          </w:p>
          <w:p w:rsidR="00F14F38" w:rsidRDefault="00F14F38" w:rsidP="00775C49">
            <w:pPr>
              <w:rPr>
                <w:sz w:val="20"/>
                <w:szCs w:val="20"/>
              </w:rPr>
            </w:pPr>
          </w:p>
          <w:p w:rsidR="007E339C" w:rsidRDefault="004111CD" w:rsidP="003D510D">
            <w:pPr>
              <w:rPr>
                <w:sz w:val="20"/>
                <w:szCs w:val="20"/>
              </w:rPr>
            </w:pPr>
            <w:r w:rsidRPr="004111CD">
              <w:rPr>
                <w:sz w:val="20"/>
                <w:szCs w:val="20"/>
              </w:rPr>
              <w:t>Improved capacity of targeted cities to adopt and implement urban policies and programs supportive of increased employment opportunities and enhanced livelihoods for urban young men and women</w:t>
            </w:r>
          </w:p>
          <w:p w:rsidR="003D510D" w:rsidRDefault="003D510D" w:rsidP="003D510D">
            <w:pPr>
              <w:rPr>
                <w:sz w:val="20"/>
                <w:szCs w:val="20"/>
              </w:rPr>
            </w:pPr>
          </w:p>
          <w:p w:rsidR="003D510D" w:rsidRPr="003D510D" w:rsidRDefault="004111CD" w:rsidP="003D510D">
            <w:pPr>
              <w:rPr>
                <w:sz w:val="20"/>
                <w:szCs w:val="20"/>
              </w:rPr>
            </w:pPr>
            <w:r w:rsidRPr="004111CD">
              <w:rPr>
                <w:sz w:val="20"/>
                <w:szCs w:val="20"/>
              </w:rPr>
              <w:t>Improved capacity of partner cities to adopt  policies, plans and strategies for improved urban and municipal finance</w:t>
            </w:r>
          </w:p>
        </w:tc>
        <w:tc>
          <w:tcPr>
            <w:tcW w:w="1855" w:type="dxa"/>
            <w:tcBorders>
              <w:top w:val="single" w:sz="4" w:space="0" w:color="auto"/>
            </w:tcBorders>
          </w:tcPr>
          <w:p w:rsidR="004E577C" w:rsidRPr="00775C49" w:rsidRDefault="00FA4429" w:rsidP="00775C49">
            <w:pPr>
              <w:rPr>
                <w:sz w:val="20"/>
                <w:szCs w:val="20"/>
              </w:rPr>
            </w:pPr>
            <w:r w:rsidRPr="006C2AA0">
              <w:rPr>
                <w:rFonts w:eastAsia="SimSun"/>
                <w:sz w:val="20"/>
                <w:szCs w:val="20"/>
              </w:rPr>
              <w:t>Improved policies and guidelines on equitable access to sustainable urban basic services implemented by local regional and national authorities</w:t>
            </w:r>
          </w:p>
          <w:p w:rsidR="00676252" w:rsidRPr="00B6730C" w:rsidRDefault="00676252" w:rsidP="004D04EB">
            <w:pPr>
              <w:pStyle w:val="ListParagraph"/>
              <w:ind w:left="360"/>
              <w:rPr>
                <w:sz w:val="20"/>
                <w:szCs w:val="20"/>
              </w:rPr>
            </w:pPr>
          </w:p>
          <w:p w:rsidR="004D04EB" w:rsidRPr="00775C49" w:rsidRDefault="00FA4429" w:rsidP="00775C49">
            <w:pPr>
              <w:rPr>
                <w:sz w:val="20"/>
                <w:szCs w:val="20"/>
              </w:rPr>
            </w:pPr>
            <w:r w:rsidRPr="00FA4429">
              <w:rPr>
                <w:sz w:val="20"/>
                <w:szCs w:val="20"/>
              </w:rPr>
              <w:t>Increased flow of investment into equitable urban basic services catalysed by UN-Habitat programmes in partner countries with a focus on urban poor</w:t>
            </w:r>
          </w:p>
          <w:p w:rsidR="004D04EB" w:rsidRPr="00B6730C" w:rsidRDefault="004D04EB" w:rsidP="004D04EB">
            <w:pPr>
              <w:pStyle w:val="ListParagraph"/>
              <w:rPr>
                <w:sz w:val="20"/>
                <w:szCs w:val="20"/>
              </w:rPr>
            </w:pPr>
          </w:p>
          <w:p w:rsidR="00FA4429" w:rsidRPr="006C2AA0" w:rsidRDefault="00FA4429" w:rsidP="00FA4429">
            <w:pPr>
              <w:tabs>
                <w:tab w:val="left" w:pos="185"/>
              </w:tabs>
              <w:suppressAutoHyphens/>
              <w:spacing w:after="120" w:line="240" w:lineRule="exact"/>
              <w:ind w:right="43"/>
              <w:rPr>
                <w:rFonts w:eastAsia="SimSun"/>
                <w:sz w:val="20"/>
                <w:szCs w:val="20"/>
              </w:rPr>
            </w:pPr>
            <w:r w:rsidRPr="006C2AA0">
              <w:rPr>
                <w:rFonts w:eastAsia="SimSun"/>
                <w:sz w:val="20"/>
                <w:szCs w:val="20"/>
              </w:rPr>
              <w:t>Increase in the use of sustainable urban basic services in partner cities</w:t>
            </w:r>
          </w:p>
          <w:p w:rsidR="004E577C" w:rsidRPr="00775C49" w:rsidRDefault="004E577C" w:rsidP="00775C49">
            <w:pPr>
              <w:rPr>
                <w:sz w:val="20"/>
                <w:szCs w:val="20"/>
              </w:rPr>
            </w:pPr>
          </w:p>
        </w:tc>
        <w:tc>
          <w:tcPr>
            <w:tcW w:w="1883" w:type="dxa"/>
            <w:tcBorders>
              <w:top w:val="single" w:sz="4" w:space="0" w:color="auto"/>
            </w:tcBorders>
          </w:tcPr>
          <w:p w:rsidR="004E577C" w:rsidRPr="00775C49" w:rsidRDefault="006B65C3" w:rsidP="00775C49">
            <w:pPr>
              <w:rPr>
                <w:sz w:val="20"/>
                <w:szCs w:val="20"/>
              </w:rPr>
            </w:pPr>
            <w:r w:rsidRPr="006B65C3">
              <w:rPr>
                <w:sz w:val="20"/>
                <w:szCs w:val="20"/>
              </w:rPr>
              <w:t>Global Framework for Development Effectiveness in Inclusive Housing, Slum Upgrading and Prevention developed</w:t>
            </w:r>
          </w:p>
          <w:p w:rsidR="004D04EB" w:rsidRPr="00B6730C" w:rsidRDefault="004D04EB" w:rsidP="004D04EB">
            <w:pPr>
              <w:pStyle w:val="ListParagraph"/>
              <w:ind w:left="328"/>
              <w:rPr>
                <w:sz w:val="20"/>
                <w:szCs w:val="20"/>
              </w:rPr>
            </w:pPr>
          </w:p>
          <w:p w:rsidR="004E577C" w:rsidRPr="00775C49" w:rsidRDefault="00C67570" w:rsidP="00775C49">
            <w:pPr>
              <w:rPr>
                <w:sz w:val="20"/>
                <w:szCs w:val="20"/>
              </w:rPr>
            </w:pPr>
            <w:r w:rsidRPr="00FA4429">
              <w:rPr>
                <w:sz w:val="20"/>
                <w:szCs w:val="20"/>
              </w:rPr>
              <w:t>Sustainable inclusive Housing, Slum Upgrading and Prevention are mainstreamed in National Policies, Strategies and Development Plans</w:t>
            </w:r>
          </w:p>
          <w:p w:rsidR="00676252" w:rsidRPr="00B6730C" w:rsidRDefault="00676252" w:rsidP="004D04EB">
            <w:pPr>
              <w:pStyle w:val="ListParagraph"/>
              <w:rPr>
                <w:sz w:val="20"/>
                <w:szCs w:val="20"/>
              </w:rPr>
            </w:pPr>
          </w:p>
          <w:p w:rsidR="004E577C" w:rsidRPr="00775C49" w:rsidRDefault="00C67570" w:rsidP="00775C49">
            <w:pPr>
              <w:rPr>
                <w:sz w:val="20"/>
                <w:szCs w:val="20"/>
              </w:rPr>
            </w:pPr>
            <w:r w:rsidRPr="00FA4429">
              <w:rPr>
                <w:sz w:val="20"/>
                <w:szCs w:val="20"/>
              </w:rPr>
              <w:t>Sustainable inclusive Housing, Slum Upgrading and Prevention is mainstreamed in Local Development Plans</w:t>
            </w:r>
          </w:p>
        </w:tc>
        <w:tc>
          <w:tcPr>
            <w:tcW w:w="1946" w:type="dxa"/>
            <w:tcBorders>
              <w:top w:val="single" w:sz="4" w:space="0" w:color="auto"/>
            </w:tcBorders>
          </w:tcPr>
          <w:p w:rsidR="004E577C" w:rsidRPr="00775C49" w:rsidRDefault="004E577C" w:rsidP="00775C49">
            <w:pPr>
              <w:rPr>
                <w:sz w:val="20"/>
                <w:szCs w:val="20"/>
              </w:rPr>
            </w:pPr>
            <w:r w:rsidRPr="00775C49">
              <w:rPr>
                <w:sz w:val="20"/>
                <w:szCs w:val="20"/>
              </w:rPr>
              <w:t>Improved risk reduction policies, strategies and programmes adopted for greater resilience of cities and other human settlements</w:t>
            </w:r>
          </w:p>
          <w:p w:rsidR="00676252" w:rsidRPr="006B65C3" w:rsidRDefault="00676252" w:rsidP="006B65C3">
            <w:pPr>
              <w:rPr>
                <w:sz w:val="20"/>
                <w:szCs w:val="20"/>
              </w:rPr>
            </w:pPr>
          </w:p>
          <w:p w:rsidR="004E577C" w:rsidRPr="00775C49" w:rsidRDefault="006B65C3" w:rsidP="00775C49">
            <w:pPr>
              <w:rPr>
                <w:sz w:val="20"/>
                <w:szCs w:val="20"/>
              </w:rPr>
            </w:pPr>
            <w:r w:rsidRPr="006B65C3">
              <w:rPr>
                <w:sz w:val="20"/>
                <w:szCs w:val="20"/>
              </w:rPr>
              <w:t>Improved settlements recovery and reconstruction interventions for longer term sustainability in cities and other human settlements</w:t>
            </w:r>
          </w:p>
          <w:p w:rsidR="004D04EB" w:rsidRPr="00B6730C" w:rsidRDefault="004D04EB" w:rsidP="004D04EB">
            <w:pPr>
              <w:pStyle w:val="ListParagraph"/>
              <w:rPr>
                <w:sz w:val="20"/>
                <w:szCs w:val="20"/>
              </w:rPr>
            </w:pPr>
          </w:p>
          <w:p w:rsidR="004E577C" w:rsidRPr="00775C49" w:rsidRDefault="004E577C" w:rsidP="00775C49">
            <w:pPr>
              <w:rPr>
                <w:sz w:val="20"/>
                <w:szCs w:val="20"/>
              </w:rPr>
            </w:pPr>
            <w:r w:rsidRPr="00775C49">
              <w:rPr>
                <w:sz w:val="20"/>
                <w:szCs w:val="20"/>
              </w:rPr>
              <w:t>Shelter rehabilitation programmes in crises responses have contributed to sustainable and resilient cities and other human settlements</w:t>
            </w:r>
          </w:p>
        </w:tc>
        <w:tc>
          <w:tcPr>
            <w:tcW w:w="1724" w:type="dxa"/>
            <w:gridSpan w:val="2"/>
            <w:tcBorders>
              <w:top w:val="single" w:sz="4" w:space="0" w:color="auto"/>
            </w:tcBorders>
          </w:tcPr>
          <w:p w:rsidR="004E577C" w:rsidRPr="00775C49" w:rsidRDefault="006A2926" w:rsidP="00775C49">
            <w:pPr>
              <w:rPr>
                <w:sz w:val="20"/>
                <w:szCs w:val="20"/>
              </w:rPr>
            </w:pPr>
            <w:r>
              <w:rPr>
                <w:sz w:val="20"/>
                <w:szCs w:val="20"/>
              </w:rPr>
              <w:t xml:space="preserve">Improved </w:t>
            </w:r>
            <w:r w:rsidR="004E577C" w:rsidRPr="00775C49">
              <w:rPr>
                <w:sz w:val="20"/>
                <w:szCs w:val="20"/>
              </w:rPr>
              <w:t>monitoring of urban conditions and trends</w:t>
            </w:r>
          </w:p>
          <w:p w:rsidR="004D04EB" w:rsidRPr="00B6730C" w:rsidRDefault="004D04EB" w:rsidP="004D04EB">
            <w:pPr>
              <w:pStyle w:val="ListParagraph"/>
              <w:ind w:left="342"/>
              <w:rPr>
                <w:sz w:val="20"/>
                <w:szCs w:val="20"/>
              </w:rPr>
            </w:pPr>
          </w:p>
          <w:p w:rsidR="004E577C" w:rsidRPr="00775C49" w:rsidRDefault="004E577C" w:rsidP="00775C49">
            <w:pPr>
              <w:rPr>
                <w:sz w:val="20"/>
                <w:szCs w:val="20"/>
              </w:rPr>
            </w:pPr>
            <w:r w:rsidRPr="00775C49">
              <w:rPr>
                <w:sz w:val="20"/>
                <w:szCs w:val="20"/>
              </w:rPr>
              <w:t>Improve</w:t>
            </w:r>
            <w:r w:rsidR="006A2926">
              <w:rPr>
                <w:sz w:val="20"/>
                <w:szCs w:val="20"/>
              </w:rPr>
              <w:t>d</w:t>
            </w:r>
            <w:r w:rsidRPr="00775C49">
              <w:rPr>
                <w:sz w:val="20"/>
                <w:szCs w:val="20"/>
              </w:rPr>
              <w:t xml:space="preserve"> knowledge on sustainable urbanisation issues at local, national and global levels</w:t>
            </w:r>
          </w:p>
          <w:p w:rsidR="004D04EB" w:rsidRDefault="004D04EB" w:rsidP="004D04EB">
            <w:pPr>
              <w:pStyle w:val="ListParagraph"/>
              <w:rPr>
                <w:sz w:val="20"/>
                <w:szCs w:val="20"/>
              </w:rPr>
            </w:pPr>
          </w:p>
          <w:p w:rsidR="004E577C" w:rsidRPr="00775C49" w:rsidRDefault="004E577C" w:rsidP="00775C49">
            <w:pPr>
              <w:rPr>
                <w:sz w:val="20"/>
                <w:szCs w:val="20"/>
              </w:rPr>
            </w:pPr>
            <w:r w:rsidRPr="00775C49">
              <w:rPr>
                <w:sz w:val="20"/>
                <w:szCs w:val="20"/>
              </w:rPr>
              <w:t>Improve</w:t>
            </w:r>
            <w:r w:rsidR="006A2926">
              <w:rPr>
                <w:sz w:val="20"/>
                <w:szCs w:val="20"/>
              </w:rPr>
              <w:t>d</w:t>
            </w:r>
            <w:r w:rsidRPr="00775C49">
              <w:rPr>
                <w:sz w:val="20"/>
                <w:szCs w:val="20"/>
              </w:rPr>
              <w:t xml:space="preserve"> capacities of national and local authorities and partners to formulate and implement informed policies and programmes </w:t>
            </w:r>
          </w:p>
        </w:tc>
      </w:tr>
      <w:tr w:rsidR="006A2926" w:rsidRPr="00B6730C" w:rsidTr="00EE6BBB">
        <w:tc>
          <w:tcPr>
            <w:tcW w:w="1242" w:type="dxa"/>
            <w:tcBorders>
              <w:bottom w:val="single" w:sz="4" w:space="0" w:color="auto"/>
            </w:tcBorders>
          </w:tcPr>
          <w:p w:rsidR="00D94B67" w:rsidRPr="00B6730C" w:rsidRDefault="00D94B67">
            <w:pPr>
              <w:rPr>
                <w:sz w:val="20"/>
                <w:szCs w:val="20"/>
              </w:rPr>
            </w:pPr>
          </w:p>
        </w:tc>
        <w:tc>
          <w:tcPr>
            <w:tcW w:w="2450" w:type="dxa"/>
            <w:tcBorders>
              <w:bottom w:val="single" w:sz="4" w:space="0" w:color="auto"/>
            </w:tcBorders>
          </w:tcPr>
          <w:p w:rsidR="00D94B67" w:rsidRPr="00B6730C" w:rsidRDefault="00D94B67">
            <w:pPr>
              <w:rPr>
                <w:sz w:val="20"/>
                <w:szCs w:val="20"/>
              </w:rPr>
            </w:pPr>
          </w:p>
        </w:tc>
        <w:tc>
          <w:tcPr>
            <w:tcW w:w="2281" w:type="dxa"/>
            <w:tcBorders>
              <w:bottom w:val="single" w:sz="4" w:space="0" w:color="auto"/>
            </w:tcBorders>
          </w:tcPr>
          <w:p w:rsidR="00D94B67" w:rsidRPr="00B6730C" w:rsidRDefault="00D94B67">
            <w:pPr>
              <w:rPr>
                <w:sz w:val="20"/>
                <w:szCs w:val="20"/>
              </w:rPr>
            </w:pPr>
          </w:p>
        </w:tc>
        <w:tc>
          <w:tcPr>
            <w:tcW w:w="2088" w:type="dxa"/>
            <w:tcBorders>
              <w:bottom w:val="single" w:sz="4" w:space="0" w:color="auto"/>
            </w:tcBorders>
          </w:tcPr>
          <w:p w:rsidR="00D94B67" w:rsidRPr="00B6730C" w:rsidRDefault="00D94B67">
            <w:pPr>
              <w:rPr>
                <w:sz w:val="20"/>
                <w:szCs w:val="20"/>
              </w:rPr>
            </w:pPr>
          </w:p>
        </w:tc>
        <w:tc>
          <w:tcPr>
            <w:tcW w:w="1855" w:type="dxa"/>
            <w:tcBorders>
              <w:bottom w:val="single" w:sz="4" w:space="0" w:color="auto"/>
            </w:tcBorders>
          </w:tcPr>
          <w:p w:rsidR="00D94B67" w:rsidRPr="00B6730C" w:rsidRDefault="00D94B67">
            <w:pPr>
              <w:rPr>
                <w:sz w:val="20"/>
                <w:szCs w:val="20"/>
              </w:rPr>
            </w:pPr>
          </w:p>
        </w:tc>
        <w:tc>
          <w:tcPr>
            <w:tcW w:w="1883" w:type="dxa"/>
            <w:tcBorders>
              <w:bottom w:val="single" w:sz="4" w:space="0" w:color="auto"/>
            </w:tcBorders>
          </w:tcPr>
          <w:p w:rsidR="00D94B67" w:rsidRPr="00B6730C" w:rsidRDefault="00D94B67">
            <w:pPr>
              <w:rPr>
                <w:sz w:val="20"/>
                <w:szCs w:val="20"/>
              </w:rPr>
            </w:pPr>
          </w:p>
        </w:tc>
        <w:tc>
          <w:tcPr>
            <w:tcW w:w="1946" w:type="dxa"/>
            <w:tcBorders>
              <w:bottom w:val="single" w:sz="4" w:space="0" w:color="auto"/>
            </w:tcBorders>
          </w:tcPr>
          <w:p w:rsidR="00D94B67" w:rsidRPr="00B6730C" w:rsidRDefault="00D94B67">
            <w:pPr>
              <w:rPr>
                <w:sz w:val="20"/>
                <w:szCs w:val="20"/>
              </w:rPr>
            </w:pPr>
          </w:p>
        </w:tc>
        <w:tc>
          <w:tcPr>
            <w:tcW w:w="862" w:type="dxa"/>
            <w:tcBorders>
              <w:bottom w:val="single" w:sz="4" w:space="0" w:color="auto"/>
            </w:tcBorders>
          </w:tcPr>
          <w:p w:rsidR="00D94B67" w:rsidRPr="00B6730C" w:rsidRDefault="00D94B67">
            <w:pPr>
              <w:rPr>
                <w:sz w:val="20"/>
                <w:szCs w:val="20"/>
              </w:rPr>
            </w:pPr>
          </w:p>
        </w:tc>
        <w:tc>
          <w:tcPr>
            <w:tcW w:w="862" w:type="dxa"/>
            <w:tcBorders>
              <w:bottom w:val="single" w:sz="4" w:space="0" w:color="auto"/>
            </w:tcBorders>
          </w:tcPr>
          <w:p w:rsidR="00D94B67" w:rsidRPr="00B6730C" w:rsidRDefault="00D94B67">
            <w:pPr>
              <w:rPr>
                <w:sz w:val="20"/>
                <w:szCs w:val="20"/>
              </w:rPr>
            </w:pPr>
          </w:p>
        </w:tc>
      </w:tr>
    </w:tbl>
    <w:p w:rsidR="002A640F" w:rsidRDefault="002A640F"/>
    <w:p w:rsidR="002A640F" w:rsidRDefault="002A640F">
      <w:r>
        <w:br w:type="page"/>
      </w:r>
    </w:p>
    <w:p w:rsidR="002A640F" w:rsidRPr="00BF59FA" w:rsidRDefault="002A640F" w:rsidP="002A640F">
      <w:pPr>
        <w:rPr>
          <w:b/>
          <w:sz w:val="32"/>
          <w:szCs w:val="32"/>
        </w:rPr>
      </w:pPr>
      <w:r w:rsidRPr="00BF59FA">
        <w:rPr>
          <w:b/>
          <w:sz w:val="32"/>
          <w:szCs w:val="32"/>
        </w:rPr>
        <w:lastRenderedPageBreak/>
        <w:t>F</w:t>
      </w:r>
      <w:r w:rsidR="00BF59FA" w:rsidRPr="00BF59FA">
        <w:rPr>
          <w:b/>
          <w:sz w:val="32"/>
          <w:szCs w:val="32"/>
        </w:rPr>
        <w:t xml:space="preserve">ocus Area </w:t>
      </w:r>
      <w:r w:rsidRPr="00BF59FA">
        <w:rPr>
          <w:b/>
          <w:sz w:val="32"/>
          <w:szCs w:val="32"/>
        </w:rPr>
        <w:t>1: URBAN LEGISLATION, LAND AND GOVERNANCE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2A640F" w:rsidTr="00775C49">
        <w:tc>
          <w:tcPr>
            <w:tcW w:w="667" w:type="pct"/>
            <w:tcBorders>
              <w:top w:val="single" w:sz="4" w:space="0" w:color="auto"/>
              <w:bottom w:val="single" w:sz="4" w:space="0" w:color="auto"/>
            </w:tcBorders>
          </w:tcPr>
          <w:p w:rsidR="002A640F" w:rsidRPr="00C152EA" w:rsidRDefault="002A640F" w:rsidP="00775C49">
            <w:pPr>
              <w:rPr>
                <w:b/>
              </w:rPr>
            </w:pPr>
            <w:r w:rsidRPr="00C152EA">
              <w:rPr>
                <w:b/>
              </w:rPr>
              <w:t>Strategic Result</w:t>
            </w:r>
          </w:p>
        </w:tc>
        <w:tc>
          <w:tcPr>
            <w:tcW w:w="4333" w:type="pct"/>
            <w:gridSpan w:val="3"/>
            <w:tcBorders>
              <w:top w:val="single" w:sz="4" w:space="0" w:color="auto"/>
              <w:bottom w:val="single" w:sz="4" w:space="0" w:color="auto"/>
            </w:tcBorders>
          </w:tcPr>
          <w:p w:rsidR="002A640F" w:rsidRPr="00775C49" w:rsidRDefault="002A640F" w:rsidP="00775C49">
            <w:pPr>
              <w:ind w:right="857"/>
              <w:rPr>
                <w:rFonts w:eastAsia="SimSun"/>
                <w:color w:val="000000"/>
                <w:sz w:val="20"/>
                <w:szCs w:val="20"/>
              </w:rPr>
            </w:pPr>
            <w:r w:rsidRPr="00775C49">
              <w:rPr>
                <w:rFonts w:eastAsia="SimSun"/>
                <w:color w:val="000000"/>
                <w:sz w:val="20"/>
                <w:szCs w:val="20"/>
              </w:rPr>
              <w:t>City, regional and national authorities have adopted enabling legislation and established systems for improved access to land, effective decentralis</w:t>
            </w:r>
            <w:r w:rsidR="00775C49">
              <w:rPr>
                <w:rFonts w:eastAsia="SimSun"/>
                <w:color w:val="000000"/>
                <w:sz w:val="20"/>
                <w:szCs w:val="20"/>
              </w:rPr>
              <w:t xml:space="preserve">ed governance and urban safety </w:t>
            </w:r>
            <w:r w:rsidRPr="00775C49">
              <w:rPr>
                <w:rFonts w:eastAsia="SimSun"/>
                <w:color w:val="000000"/>
                <w:sz w:val="20"/>
                <w:szCs w:val="20"/>
              </w:rPr>
              <w:t xml:space="preserve">that foster sustainable urban development. </w:t>
            </w:r>
          </w:p>
          <w:p w:rsidR="002A640F" w:rsidRPr="00B2460C" w:rsidRDefault="002A640F" w:rsidP="00775C49">
            <w:pPr>
              <w:ind w:right="857"/>
              <w:rPr>
                <w:rFonts w:eastAsia="SimSun"/>
                <w:color w:val="000000"/>
              </w:rPr>
            </w:pPr>
          </w:p>
        </w:tc>
      </w:tr>
      <w:tr w:rsidR="002A640F" w:rsidTr="00775C49">
        <w:tc>
          <w:tcPr>
            <w:tcW w:w="667" w:type="pct"/>
            <w:tcBorders>
              <w:top w:val="single" w:sz="4" w:space="0" w:color="auto"/>
            </w:tcBorders>
          </w:tcPr>
          <w:p w:rsidR="002A640F" w:rsidRPr="00C152EA" w:rsidRDefault="002A640F" w:rsidP="00775C49">
            <w:pPr>
              <w:rPr>
                <w:u w:val="single"/>
              </w:rPr>
            </w:pPr>
            <w:r w:rsidRPr="00C152EA">
              <w:rPr>
                <w:u w:val="single"/>
              </w:rPr>
              <w:t>Indicator</w:t>
            </w:r>
          </w:p>
        </w:tc>
        <w:tc>
          <w:tcPr>
            <w:tcW w:w="4333" w:type="pct"/>
            <w:gridSpan w:val="3"/>
            <w:tcBorders>
              <w:top w:val="single" w:sz="4" w:space="0" w:color="auto"/>
            </w:tcBorders>
          </w:tcPr>
          <w:p w:rsidR="002A640F" w:rsidRPr="00EE6BBB" w:rsidRDefault="002A640F" w:rsidP="00EE6BBB">
            <w:pPr>
              <w:rPr>
                <w:rFonts w:eastAsia="SimSun"/>
                <w:color w:val="000000"/>
                <w:sz w:val="20"/>
                <w:szCs w:val="20"/>
              </w:rPr>
            </w:pPr>
            <w:r w:rsidRPr="00EE6BBB">
              <w:rPr>
                <w:rFonts w:eastAsia="SimSun"/>
                <w:color w:val="000000"/>
                <w:sz w:val="20"/>
                <w:szCs w:val="20"/>
              </w:rPr>
              <w:t>Number of partner cities, regional and national authorities that have adopted legislation for improved urban governance</w:t>
            </w:r>
          </w:p>
          <w:p w:rsidR="00EE6BBB" w:rsidRDefault="00EE6BBB" w:rsidP="00EE6BBB">
            <w:pPr>
              <w:rPr>
                <w:rFonts w:eastAsia="SimSun"/>
                <w:color w:val="000000"/>
                <w:sz w:val="20"/>
                <w:szCs w:val="20"/>
              </w:rPr>
            </w:pPr>
          </w:p>
          <w:p w:rsidR="002A640F" w:rsidRPr="00EE6BBB" w:rsidRDefault="002A640F" w:rsidP="00EE6BBB">
            <w:pPr>
              <w:rPr>
                <w:rFonts w:eastAsia="SimSun"/>
                <w:color w:val="000000"/>
                <w:sz w:val="20"/>
                <w:szCs w:val="20"/>
              </w:rPr>
            </w:pPr>
            <w:r w:rsidRPr="00EE6BBB">
              <w:rPr>
                <w:rFonts w:eastAsia="SimSun"/>
                <w:color w:val="000000"/>
                <w:sz w:val="20"/>
                <w:szCs w:val="20"/>
              </w:rPr>
              <w:t>Number of partner cities, regions and countries that have improved tenure security</w:t>
            </w:r>
          </w:p>
          <w:p w:rsidR="00EE6BBB" w:rsidRDefault="00EE6BBB" w:rsidP="00EE6BBB">
            <w:pPr>
              <w:rPr>
                <w:rFonts w:eastAsia="SimSun"/>
                <w:color w:val="000000"/>
                <w:sz w:val="20"/>
                <w:szCs w:val="20"/>
              </w:rPr>
            </w:pPr>
          </w:p>
          <w:p w:rsidR="002A640F" w:rsidRPr="00EE6BBB" w:rsidRDefault="002A640F" w:rsidP="00EE6BBB">
            <w:pPr>
              <w:rPr>
                <w:rFonts w:eastAsia="SimSun"/>
                <w:color w:val="000000"/>
              </w:rPr>
            </w:pPr>
            <w:r w:rsidRPr="00EE6BBB">
              <w:rPr>
                <w:rFonts w:eastAsia="SimSun"/>
                <w:color w:val="000000"/>
                <w:sz w:val="20"/>
                <w:szCs w:val="20"/>
              </w:rPr>
              <w:t>Number of partner cities, regional and national authorities implementing Guidelines on Decentralisation and the Strengthening of Local Authorities, the Guidelines on Access to Basic Services and All the Guidelines for Prevention of Crime.</w:t>
            </w:r>
          </w:p>
        </w:tc>
      </w:tr>
      <w:tr w:rsidR="002A640F" w:rsidTr="00775C49">
        <w:tc>
          <w:tcPr>
            <w:tcW w:w="667" w:type="pct"/>
            <w:tcBorders>
              <w:bottom w:val="single" w:sz="4" w:space="0" w:color="auto"/>
            </w:tcBorders>
          </w:tcPr>
          <w:p w:rsidR="002A640F" w:rsidRDefault="002A640F" w:rsidP="00775C49"/>
        </w:tc>
        <w:tc>
          <w:tcPr>
            <w:tcW w:w="1446" w:type="pct"/>
            <w:tcBorders>
              <w:bottom w:val="single" w:sz="4" w:space="0" w:color="auto"/>
            </w:tcBorders>
          </w:tcPr>
          <w:p w:rsidR="002A640F" w:rsidRPr="00B2460C" w:rsidRDefault="002A640F" w:rsidP="00775C49"/>
        </w:tc>
        <w:tc>
          <w:tcPr>
            <w:tcW w:w="1479" w:type="pct"/>
            <w:tcBorders>
              <w:bottom w:val="single" w:sz="4" w:space="0" w:color="auto"/>
            </w:tcBorders>
          </w:tcPr>
          <w:p w:rsidR="002A640F" w:rsidRPr="00B2460C" w:rsidRDefault="002A640F" w:rsidP="00775C49"/>
        </w:tc>
        <w:tc>
          <w:tcPr>
            <w:tcW w:w="1408" w:type="pct"/>
            <w:tcBorders>
              <w:bottom w:val="single" w:sz="4" w:space="0" w:color="auto"/>
            </w:tcBorders>
          </w:tcPr>
          <w:p w:rsidR="002A640F" w:rsidRPr="00B2460C" w:rsidRDefault="002A640F" w:rsidP="00775C49"/>
        </w:tc>
      </w:tr>
      <w:tr w:rsidR="002A640F" w:rsidTr="00775C49">
        <w:tc>
          <w:tcPr>
            <w:tcW w:w="667" w:type="pct"/>
            <w:tcBorders>
              <w:top w:val="single" w:sz="4" w:space="0" w:color="auto"/>
            </w:tcBorders>
          </w:tcPr>
          <w:p w:rsidR="002A640F" w:rsidRPr="00C152EA" w:rsidRDefault="002A640F" w:rsidP="00775C49">
            <w:pPr>
              <w:rPr>
                <w:b/>
              </w:rPr>
            </w:pPr>
            <w:r w:rsidRPr="00C152EA">
              <w:rPr>
                <w:b/>
              </w:rPr>
              <w:t>Expected Accomplishment</w:t>
            </w:r>
          </w:p>
        </w:tc>
        <w:tc>
          <w:tcPr>
            <w:tcW w:w="1446" w:type="pct"/>
            <w:tcBorders>
              <w:top w:val="single" w:sz="4" w:space="0" w:color="auto"/>
            </w:tcBorders>
          </w:tcPr>
          <w:p w:rsidR="002A640F" w:rsidRPr="00775C49" w:rsidRDefault="002A640F" w:rsidP="00942C51">
            <w:pPr>
              <w:rPr>
                <w:rFonts w:eastAsia="SimSun"/>
                <w:color w:val="000000"/>
              </w:rPr>
            </w:pPr>
            <w:r w:rsidRPr="00775C49">
              <w:rPr>
                <w:rFonts w:eastAsia="SimSun"/>
                <w:color w:val="000000"/>
                <w:sz w:val="20"/>
                <w:szCs w:val="20"/>
              </w:rPr>
              <w:t xml:space="preserve">Increased capacity of local and national governments and other Habitat Agenda Partners to implement enabling legislation </w:t>
            </w:r>
            <w:r w:rsidR="00942C51">
              <w:rPr>
                <w:rFonts w:eastAsia="SimSun"/>
                <w:color w:val="000000"/>
                <w:sz w:val="20"/>
                <w:szCs w:val="20"/>
              </w:rPr>
              <w:t>for</w:t>
            </w:r>
            <w:r w:rsidR="00942C51" w:rsidRPr="00775C49">
              <w:rPr>
                <w:rFonts w:eastAsia="SimSun"/>
                <w:color w:val="000000"/>
                <w:sz w:val="20"/>
                <w:szCs w:val="20"/>
              </w:rPr>
              <w:t xml:space="preserve"> </w:t>
            </w:r>
            <w:r w:rsidRPr="00775C49">
              <w:rPr>
                <w:rFonts w:eastAsia="SimSun"/>
                <w:color w:val="000000"/>
                <w:sz w:val="20"/>
                <w:szCs w:val="20"/>
              </w:rPr>
              <w:t>improv</w:t>
            </w:r>
            <w:r w:rsidR="00942C51">
              <w:rPr>
                <w:rFonts w:eastAsia="SimSun"/>
                <w:color w:val="000000"/>
                <w:sz w:val="20"/>
                <w:szCs w:val="20"/>
              </w:rPr>
              <w:t>ing</w:t>
            </w:r>
            <w:r w:rsidRPr="00775C49">
              <w:rPr>
                <w:rFonts w:eastAsia="SimSun"/>
                <w:color w:val="000000"/>
                <w:sz w:val="20"/>
                <w:szCs w:val="20"/>
              </w:rPr>
              <w:t xml:space="preserve"> urban extension, densification, urban planning and urban finance</w:t>
            </w:r>
            <w:r w:rsidRPr="00775C49">
              <w:rPr>
                <w:rFonts w:eastAsia="SimSun"/>
                <w:color w:val="000000"/>
              </w:rPr>
              <w:t>.</w:t>
            </w:r>
          </w:p>
        </w:tc>
        <w:tc>
          <w:tcPr>
            <w:tcW w:w="1479" w:type="pct"/>
            <w:tcBorders>
              <w:top w:val="single" w:sz="4" w:space="0" w:color="auto"/>
            </w:tcBorders>
          </w:tcPr>
          <w:p w:rsidR="002A640F" w:rsidRPr="00775C49" w:rsidRDefault="002A640F" w:rsidP="00775C49">
            <w:pPr>
              <w:rPr>
                <w:rFonts w:eastAsia="SimSun"/>
                <w:color w:val="000000"/>
                <w:sz w:val="20"/>
                <w:szCs w:val="20"/>
              </w:rPr>
            </w:pPr>
            <w:r w:rsidRPr="00775C49">
              <w:rPr>
                <w:rFonts w:eastAsia="SimSun"/>
                <w:color w:val="000000"/>
                <w:sz w:val="20"/>
                <w:szCs w:val="20"/>
              </w:rPr>
              <w:t xml:space="preserve">Increased capacity of local, national governments and other Habitat Agenda Partners to implement programmes that improve security of tenure for vulnerable groups, including women, youth indigenous people and minorities. </w:t>
            </w:r>
          </w:p>
        </w:tc>
        <w:tc>
          <w:tcPr>
            <w:tcW w:w="1408" w:type="pct"/>
            <w:tcBorders>
              <w:top w:val="single" w:sz="4" w:space="0" w:color="auto"/>
            </w:tcBorders>
          </w:tcPr>
          <w:p w:rsidR="002A640F" w:rsidRPr="00775C49" w:rsidRDefault="00C42C8E" w:rsidP="00942C51">
            <w:pPr>
              <w:rPr>
                <w:rFonts w:eastAsia="SimSun"/>
                <w:color w:val="000000"/>
                <w:sz w:val="20"/>
                <w:szCs w:val="20"/>
              </w:rPr>
            </w:pPr>
            <w:r w:rsidRPr="00775C49">
              <w:rPr>
                <w:rFonts w:eastAsia="SimSun"/>
                <w:color w:val="000000"/>
                <w:sz w:val="20"/>
                <w:szCs w:val="20"/>
              </w:rPr>
              <w:t>Local and national governments and other Habitat Agenda Partners improved policies, plans and strategies that strengthen decentralised governance, inclusive urban management and safety</w:t>
            </w:r>
          </w:p>
        </w:tc>
      </w:tr>
      <w:tr w:rsidR="002A640F" w:rsidTr="004F32D9">
        <w:trPr>
          <w:trHeight w:val="196"/>
        </w:trPr>
        <w:tc>
          <w:tcPr>
            <w:tcW w:w="667" w:type="pct"/>
            <w:tcBorders>
              <w:bottom w:val="single" w:sz="4" w:space="0" w:color="auto"/>
            </w:tcBorders>
          </w:tcPr>
          <w:p w:rsidR="002A640F" w:rsidRPr="00C152EA" w:rsidRDefault="002A640F" w:rsidP="00775C49">
            <w:pPr>
              <w:rPr>
                <w:b/>
              </w:rPr>
            </w:pPr>
          </w:p>
        </w:tc>
        <w:tc>
          <w:tcPr>
            <w:tcW w:w="1446" w:type="pct"/>
            <w:tcBorders>
              <w:bottom w:val="single" w:sz="4" w:space="0" w:color="auto"/>
            </w:tcBorders>
          </w:tcPr>
          <w:p w:rsidR="002A640F" w:rsidRPr="00B2460C" w:rsidRDefault="002A640F" w:rsidP="00775C49">
            <w:pPr>
              <w:rPr>
                <w:rFonts w:eastAsia="SimSun"/>
              </w:rPr>
            </w:pPr>
          </w:p>
        </w:tc>
        <w:tc>
          <w:tcPr>
            <w:tcW w:w="1479" w:type="pct"/>
            <w:tcBorders>
              <w:bottom w:val="single" w:sz="4" w:space="0" w:color="auto"/>
            </w:tcBorders>
          </w:tcPr>
          <w:p w:rsidR="002A640F" w:rsidRPr="00B2460C" w:rsidRDefault="002A640F" w:rsidP="00775C49">
            <w:pPr>
              <w:rPr>
                <w:rFonts w:eastAsia="SimSun"/>
              </w:rPr>
            </w:pPr>
          </w:p>
        </w:tc>
        <w:tc>
          <w:tcPr>
            <w:tcW w:w="1408" w:type="pct"/>
            <w:tcBorders>
              <w:bottom w:val="single" w:sz="4" w:space="0" w:color="auto"/>
            </w:tcBorders>
          </w:tcPr>
          <w:p w:rsidR="002A640F" w:rsidRPr="00B2460C" w:rsidRDefault="002A640F" w:rsidP="00775C49">
            <w:pPr>
              <w:tabs>
                <w:tab w:val="left" w:pos="185"/>
              </w:tabs>
              <w:suppressAutoHyphens/>
              <w:spacing w:after="120" w:line="240" w:lineRule="exact"/>
              <w:ind w:right="43"/>
              <w:rPr>
                <w:rFonts w:eastAsia="SimSun"/>
              </w:rPr>
            </w:pPr>
          </w:p>
        </w:tc>
      </w:tr>
      <w:tr w:rsidR="002A640F" w:rsidTr="00775C49">
        <w:trPr>
          <w:trHeight w:val="1016"/>
        </w:trPr>
        <w:tc>
          <w:tcPr>
            <w:tcW w:w="667" w:type="pct"/>
            <w:tcBorders>
              <w:top w:val="single" w:sz="4" w:space="0" w:color="auto"/>
            </w:tcBorders>
          </w:tcPr>
          <w:p w:rsidR="002A640F" w:rsidRPr="00C152EA" w:rsidRDefault="002A640F" w:rsidP="00775C49">
            <w:pPr>
              <w:rPr>
                <w:u w:val="single"/>
              </w:rPr>
            </w:pPr>
            <w:r>
              <w:rPr>
                <w:u w:val="single"/>
              </w:rPr>
              <w:t>Indicator</w:t>
            </w:r>
            <w:r w:rsidR="00775C49">
              <w:rPr>
                <w:u w:val="single"/>
              </w:rPr>
              <w:t>s</w:t>
            </w:r>
          </w:p>
        </w:tc>
        <w:tc>
          <w:tcPr>
            <w:tcW w:w="1446" w:type="pct"/>
            <w:tcBorders>
              <w:top w:val="single" w:sz="4" w:space="0" w:color="auto"/>
            </w:tcBorders>
          </w:tcPr>
          <w:p w:rsidR="002A640F" w:rsidRPr="00775C49" w:rsidRDefault="00F00949" w:rsidP="00775C49">
            <w:pPr>
              <w:rPr>
                <w:rFonts w:eastAsia="SimSun"/>
                <w:color w:val="000000"/>
                <w:sz w:val="20"/>
                <w:szCs w:val="20"/>
              </w:rPr>
            </w:pPr>
            <w:r w:rsidRPr="00F00949">
              <w:rPr>
                <w:rFonts w:eastAsia="SimSun"/>
                <w:color w:val="000000"/>
                <w:sz w:val="20"/>
                <w:szCs w:val="20"/>
              </w:rPr>
              <w:t>Number of consultative legal reform processes to improve urban extension, densification, urban planning and finance</w:t>
            </w:r>
          </w:p>
        </w:tc>
        <w:tc>
          <w:tcPr>
            <w:tcW w:w="1479" w:type="pct"/>
            <w:tcBorders>
              <w:top w:val="single" w:sz="4" w:space="0" w:color="auto"/>
            </w:tcBorders>
          </w:tcPr>
          <w:p w:rsidR="00F00949" w:rsidRPr="00F00949" w:rsidRDefault="00F00949" w:rsidP="00F00949">
            <w:pPr>
              <w:tabs>
                <w:tab w:val="left" w:pos="720"/>
              </w:tabs>
              <w:ind w:left="14"/>
              <w:rPr>
                <w:sz w:val="20"/>
              </w:rPr>
            </w:pPr>
            <w:r w:rsidRPr="00F00949">
              <w:rPr>
                <w:sz w:val="20"/>
              </w:rPr>
              <w:t xml:space="preserve">Number of programmes to improve security of tenure for the vulnerable groups, including women, youth, indigenous people and minorities implemented </w:t>
            </w:r>
          </w:p>
          <w:p w:rsidR="002A640F" w:rsidRPr="00775C49" w:rsidRDefault="00F00949" w:rsidP="00F00949">
            <w:pPr>
              <w:rPr>
                <w:rFonts w:eastAsia="SimSun"/>
                <w:color w:val="000000"/>
                <w:sz w:val="20"/>
                <w:szCs w:val="20"/>
              </w:rPr>
            </w:pPr>
            <w:r w:rsidRPr="00F00949">
              <w:rPr>
                <w:sz w:val="20"/>
              </w:rPr>
              <w:t>by partner local and national governments and other Habitat Agenda partners</w:t>
            </w:r>
          </w:p>
        </w:tc>
        <w:tc>
          <w:tcPr>
            <w:tcW w:w="1408" w:type="pct"/>
            <w:tcBorders>
              <w:top w:val="single" w:sz="4" w:space="0" w:color="auto"/>
            </w:tcBorders>
          </w:tcPr>
          <w:p w:rsidR="002A640F" w:rsidRPr="00775C49" w:rsidRDefault="002A640F" w:rsidP="00775C49">
            <w:pPr>
              <w:rPr>
                <w:rFonts w:eastAsia="SimSun"/>
                <w:color w:val="000000"/>
                <w:sz w:val="20"/>
                <w:szCs w:val="20"/>
              </w:rPr>
            </w:pPr>
            <w:r w:rsidRPr="00775C49">
              <w:rPr>
                <w:rFonts w:eastAsia="SimSun"/>
                <w:color w:val="000000"/>
                <w:sz w:val="20"/>
                <w:szCs w:val="20"/>
              </w:rPr>
              <w:t>Number of partner cities, regional and national authorities that have adapted the guidelines on decentralisation and access to basic services for all</w:t>
            </w:r>
          </w:p>
          <w:p w:rsidR="00775C49" w:rsidRDefault="00775C49" w:rsidP="00775C49">
            <w:pPr>
              <w:rPr>
                <w:rFonts w:eastAsia="SimSun"/>
                <w:color w:val="000000"/>
                <w:sz w:val="20"/>
                <w:szCs w:val="20"/>
              </w:rPr>
            </w:pPr>
          </w:p>
          <w:p w:rsidR="002A640F" w:rsidRPr="00775C49" w:rsidRDefault="002A640F" w:rsidP="00775C49">
            <w:pPr>
              <w:rPr>
                <w:rFonts w:eastAsia="SimSun"/>
                <w:color w:val="000000"/>
                <w:sz w:val="20"/>
                <w:szCs w:val="20"/>
              </w:rPr>
            </w:pPr>
            <w:r w:rsidRPr="00775C49">
              <w:rPr>
                <w:rFonts w:eastAsia="SimSun"/>
                <w:color w:val="000000"/>
                <w:sz w:val="20"/>
                <w:szCs w:val="20"/>
              </w:rPr>
              <w:t>Number of partner city, regional and national authorities that have adopted local crime prevention strategies</w:t>
            </w:r>
          </w:p>
        </w:tc>
      </w:tr>
      <w:tr w:rsidR="002A640F" w:rsidTr="004F32D9">
        <w:trPr>
          <w:trHeight w:val="97"/>
        </w:trPr>
        <w:tc>
          <w:tcPr>
            <w:tcW w:w="667" w:type="pct"/>
            <w:tcBorders>
              <w:bottom w:val="single" w:sz="4" w:space="0" w:color="auto"/>
            </w:tcBorders>
          </w:tcPr>
          <w:p w:rsidR="002A640F" w:rsidRPr="00C152EA" w:rsidRDefault="002A640F" w:rsidP="00775C49">
            <w:pPr>
              <w:rPr>
                <w:u w:val="single"/>
              </w:rPr>
            </w:pPr>
          </w:p>
        </w:tc>
        <w:tc>
          <w:tcPr>
            <w:tcW w:w="1446" w:type="pct"/>
            <w:tcBorders>
              <w:bottom w:val="single" w:sz="4" w:space="0" w:color="auto"/>
            </w:tcBorders>
          </w:tcPr>
          <w:p w:rsidR="002A640F" w:rsidRPr="00B2460C" w:rsidRDefault="002A640F" w:rsidP="00775C49">
            <w:pPr>
              <w:tabs>
                <w:tab w:val="left" w:pos="185"/>
              </w:tabs>
              <w:suppressAutoHyphens/>
              <w:spacing w:after="120" w:line="240" w:lineRule="exact"/>
              <w:ind w:right="43"/>
            </w:pPr>
          </w:p>
        </w:tc>
        <w:tc>
          <w:tcPr>
            <w:tcW w:w="1479" w:type="pct"/>
            <w:tcBorders>
              <w:bottom w:val="single" w:sz="4" w:space="0" w:color="auto"/>
            </w:tcBorders>
          </w:tcPr>
          <w:p w:rsidR="002A640F" w:rsidRPr="00B2460C" w:rsidRDefault="002A640F" w:rsidP="00775C49">
            <w:pPr>
              <w:tabs>
                <w:tab w:val="left" w:pos="185"/>
              </w:tabs>
              <w:suppressAutoHyphens/>
              <w:spacing w:after="120" w:line="240" w:lineRule="exact"/>
              <w:ind w:right="43"/>
            </w:pPr>
          </w:p>
        </w:tc>
        <w:tc>
          <w:tcPr>
            <w:tcW w:w="1408" w:type="pct"/>
            <w:tcBorders>
              <w:bottom w:val="single" w:sz="4" w:space="0" w:color="auto"/>
            </w:tcBorders>
          </w:tcPr>
          <w:p w:rsidR="002A640F" w:rsidRPr="00B2460C" w:rsidRDefault="002A640F" w:rsidP="00775C49">
            <w:pPr>
              <w:tabs>
                <w:tab w:val="left" w:pos="185"/>
              </w:tabs>
              <w:suppressAutoHyphens/>
              <w:spacing w:after="120" w:line="240" w:lineRule="exact"/>
              <w:ind w:right="43"/>
            </w:pPr>
          </w:p>
        </w:tc>
      </w:tr>
    </w:tbl>
    <w:p w:rsidR="009272B3" w:rsidRDefault="009272B3">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2A640F" w:rsidTr="00775C49">
        <w:tc>
          <w:tcPr>
            <w:tcW w:w="667" w:type="pct"/>
            <w:tcBorders>
              <w:top w:val="single" w:sz="4" w:space="0" w:color="auto"/>
              <w:bottom w:val="single" w:sz="4" w:space="0" w:color="auto"/>
            </w:tcBorders>
          </w:tcPr>
          <w:p w:rsidR="002A640F" w:rsidRPr="00C152EA" w:rsidRDefault="002A640F" w:rsidP="00775C49">
            <w:pPr>
              <w:rPr>
                <w:b/>
              </w:rPr>
            </w:pPr>
            <w:r>
              <w:rPr>
                <w:b/>
              </w:rPr>
              <w:lastRenderedPageBreak/>
              <w:t>Sub Expected Accomplishment</w:t>
            </w:r>
          </w:p>
        </w:tc>
        <w:tc>
          <w:tcPr>
            <w:tcW w:w="1446" w:type="pct"/>
            <w:tcBorders>
              <w:top w:val="single" w:sz="4" w:space="0" w:color="auto"/>
              <w:bottom w:val="single" w:sz="4" w:space="0" w:color="auto"/>
            </w:tcBorders>
          </w:tcPr>
          <w:p w:rsidR="002A640F" w:rsidRPr="00C35F1C" w:rsidRDefault="002A640F" w:rsidP="00F91A1E">
            <w:r w:rsidRPr="00F91A1E">
              <w:rPr>
                <w:rFonts w:eastAsia="SimSun"/>
                <w:color w:val="000000"/>
              </w:rPr>
              <w:t>Local and national governments initiated consultative legal reform processes to improve urban extension, densification, planning and finance</w:t>
            </w:r>
          </w:p>
          <w:p w:rsidR="002A640F" w:rsidRPr="003647F8" w:rsidRDefault="002A640F" w:rsidP="00775C49">
            <w:pPr>
              <w:pStyle w:val="ListParagraph"/>
              <w:ind w:left="449"/>
            </w:pPr>
          </w:p>
          <w:p w:rsidR="002A640F" w:rsidRPr="00B2460C" w:rsidRDefault="002A640F" w:rsidP="00F91A1E">
            <w:r w:rsidRPr="00F91A1E">
              <w:rPr>
                <w:rFonts w:eastAsia="SimSun"/>
                <w:color w:val="000000"/>
              </w:rPr>
              <w:t xml:space="preserve"> Legislative reports adopted by participants of consultative processes</w:t>
            </w:r>
          </w:p>
        </w:tc>
        <w:tc>
          <w:tcPr>
            <w:tcW w:w="1479" w:type="pct"/>
            <w:tcBorders>
              <w:top w:val="single" w:sz="4" w:space="0" w:color="auto"/>
              <w:bottom w:val="single" w:sz="4" w:space="0" w:color="auto"/>
            </w:tcBorders>
          </w:tcPr>
          <w:p w:rsidR="002A640F" w:rsidRDefault="002A640F" w:rsidP="00F91A1E">
            <w:r w:rsidRPr="00F91A1E">
              <w:rPr>
                <w:rFonts w:eastAsia="SimSun"/>
                <w:color w:val="000000"/>
              </w:rPr>
              <w:t>Local and national governments and other Habitat Agenda Partners have i</w:t>
            </w:r>
            <w:r>
              <w:t>mproved tools and approaches for increased security of tenure for vulnerable groups</w:t>
            </w:r>
          </w:p>
          <w:p w:rsidR="002A640F" w:rsidRDefault="002A640F" w:rsidP="00775C49">
            <w:pPr>
              <w:pStyle w:val="ListParagraph"/>
              <w:ind w:left="449"/>
            </w:pPr>
          </w:p>
          <w:p w:rsidR="002A640F" w:rsidRPr="00B2460C" w:rsidRDefault="002A640F" w:rsidP="00F91A1E">
            <w:r w:rsidRPr="00F91A1E">
              <w:rPr>
                <w:rFonts w:eastAsia="SimSun"/>
                <w:color w:val="000000"/>
              </w:rPr>
              <w:t>Local and national governments and other Habitat Agenda Partners have  i</w:t>
            </w:r>
            <w:r>
              <w:t>mproved knowledge and awareness on land related policy, institutional and technical frameworks, tools and approaches to increase security of tenure for vulnerable groups</w:t>
            </w:r>
          </w:p>
        </w:tc>
        <w:tc>
          <w:tcPr>
            <w:tcW w:w="1408" w:type="pct"/>
            <w:tcBorders>
              <w:top w:val="single" w:sz="4" w:space="0" w:color="auto"/>
              <w:bottom w:val="single" w:sz="4" w:space="0" w:color="auto"/>
            </w:tcBorders>
          </w:tcPr>
          <w:p w:rsidR="002A640F" w:rsidRDefault="002A640F" w:rsidP="00F91A1E">
            <w:r w:rsidRPr="00F91A1E">
              <w:rPr>
                <w:rFonts w:eastAsia="SimSun"/>
                <w:color w:val="000000"/>
              </w:rPr>
              <w:t xml:space="preserve">Local and national governments and other Habitat Agenda Partners have  improved policy dialogue on </w:t>
            </w:r>
            <w:r>
              <w:t xml:space="preserve">inclusive and participatory urban governance, and increased urban safety </w:t>
            </w:r>
          </w:p>
          <w:p w:rsidR="002A640F" w:rsidRDefault="002A640F" w:rsidP="00775C49">
            <w:pPr>
              <w:pStyle w:val="ListParagraph"/>
              <w:ind w:left="449"/>
            </w:pPr>
          </w:p>
          <w:p w:rsidR="002A640F" w:rsidRPr="00B2460C" w:rsidRDefault="002A640F" w:rsidP="00F91A1E">
            <w:r w:rsidRPr="00F91A1E">
              <w:rPr>
                <w:rFonts w:eastAsia="SimSun"/>
                <w:color w:val="000000"/>
              </w:rPr>
              <w:t xml:space="preserve">Local and national governments and other Habitat Agenda Partners have  Strengthened capacity to develop policies and strategies </w:t>
            </w:r>
            <w:r>
              <w:t xml:space="preserve">for inclusive and participatory urban governance, and increased urban safety </w:t>
            </w:r>
          </w:p>
        </w:tc>
      </w:tr>
      <w:tr w:rsidR="002A640F" w:rsidTr="00775C49">
        <w:tc>
          <w:tcPr>
            <w:tcW w:w="667" w:type="pct"/>
            <w:tcBorders>
              <w:top w:val="single" w:sz="4" w:space="0" w:color="auto"/>
              <w:bottom w:val="single" w:sz="4" w:space="0" w:color="auto"/>
            </w:tcBorders>
          </w:tcPr>
          <w:p w:rsidR="002A640F" w:rsidRPr="00CA221C" w:rsidRDefault="002A640F" w:rsidP="00775C49">
            <w:pPr>
              <w:rPr>
                <w:u w:val="single"/>
              </w:rPr>
            </w:pPr>
            <w:r>
              <w:rPr>
                <w:u w:val="single"/>
              </w:rPr>
              <w:t xml:space="preserve">Indicator </w:t>
            </w:r>
          </w:p>
        </w:tc>
        <w:tc>
          <w:tcPr>
            <w:tcW w:w="1446" w:type="pct"/>
            <w:tcBorders>
              <w:top w:val="single" w:sz="4" w:space="0" w:color="auto"/>
              <w:bottom w:val="single" w:sz="4" w:space="0" w:color="auto"/>
            </w:tcBorders>
          </w:tcPr>
          <w:p w:rsidR="002A640F" w:rsidRDefault="002A640F" w:rsidP="00F91A1E">
            <w:r>
              <w:t>Number of local and national governments and Habitat Agenda partners identify and prioritise their objectives for urban legal reform</w:t>
            </w:r>
          </w:p>
          <w:p w:rsidR="00EE6BBB" w:rsidRDefault="00EE6BBB" w:rsidP="00EE6BBB">
            <w:pPr>
              <w:pStyle w:val="ListParagraph"/>
              <w:ind w:left="490"/>
            </w:pPr>
          </w:p>
          <w:p w:rsidR="002A640F" w:rsidRDefault="002A640F" w:rsidP="00F91A1E">
            <w:r>
              <w:t>Number of l</w:t>
            </w:r>
            <w:r w:rsidRPr="00F91A1E">
              <w:rPr>
                <w:rFonts w:eastAsia="SimSun"/>
                <w:color w:val="000000"/>
              </w:rPr>
              <w:t>egislative reports finalised by participants of consultative processes</w:t>
            </w:r>
          </w:p>
        </w:tc>
        <w:tc>
          <w:tcPr>
            <w:tcW w:w="1479" w:type="pct"/>
            <w:tcBorders>
              <w:top w:val="single" w:sz="4" w:space="0" w:color="auto"/>
              <w:bottom w:val="single" w:sz="4" w:space="0" w:color="auto"/>
            </w:tcBorders>
          </w:tcPr>
          <w:p w:rsidR="002A640F" w:rsidRPr="00E002E6" w:rsidRDefault="002A640F" w:rsidP="00F91A1E">
            <w:r>
              <w:t xml:space="preserve">Number of </w:t>
            </w:r>
            <w:r w:rsidRPr="00F91A1E">
              <w:rPr>
                <w:rFonts w:eastAsia="SimSun"/>
                <w:color w:val="000000"/>
              </w:rPr>
              <w:t>local and national governments and other Habitat Agenda Partners requesting or adopting tools and approaches</w:t>
            </w:r>
          </w:p>
          <w:p w:rsidR="00EE6BBB" w:rsidRDefault="00EE6BBB" w:rsidP="00EE6BBB">
            <w:pPr>
              <w:pStyle w:val="ListParagraph"/>
              <w:ind w:left="490"/>
              <w:rPr>
                <w:rFonts w:eastAsia="SimSun"/>
                <w:color w:val="000000"/>
              </w:rPr>
            </w:pPr>
          </w:p>
          <w:p w:rsidR="002A640F" w:rsidRDefault="002A640F" w:rsidP="00F91A1E">
            <w:r w:rsidRPr="00F91A1E">
              <w:rPr>
                <w:rFonts w:eastAsia="SimSun"/>
                <w:color w:val="000000"/>
              </w:rPr>
              <w:t>Number of partners incorporating the tools and approaches in their plans and strategies</w:t>
            </w:r>
          </w:p>
        </w:tc>
        <w:tc>
          <w:tcPr>
            <w:tcW w:w="1408" w:type="pct"/>
            <w:tcBorders>
              <w:top w:val="single" w:sz="4" w:space="0" w:color="auto"/>
              <w:bottom w:val="single" w:sz="4" w:space="0" w:color="auto"/>
            </w:tcBorders>
          </w:tcPr>
          <w:p w:rsidR="002A640F" w:rsidRDefault="002A640F" w:rsidP="00F91A1E">
            <w:r>
              <w:t>Number partners cities, local and national governments organising inclusive and participatory policy dialogue meetings on urban governance and safety</w:t>
            </w:r>
          </w:p>
          <w:p w:rsidR="00EE6BBB" w:rsidRDefault="00EE6BBB" w:rsidP="00EE6BBB">
            <w:pPr>
              <w:pStyle w:val="ListParagraph"/>
              <w:ind w:left="437"/>
            </w:pPr>
          </w:p>
          <w:p w:rsidR="002A640F" w:rsidRDefault="002A640F" w:rsidP="00F91A1E">
            <w:r>
              <w:t>Number of partners using tools and approaches in urban policy making</w:t>
            </w:r>
          </w:p>
          <w:p w:rsidR="002A640F" w:rsidRDefault="002A640F" w:rsidP="00EE6BBB"/>
        </w:tc>
      </w:tr>
    </w:tbl>
    <w:p w:rsidR="00AC440A" w:rsidRDefault="00AC440A" w:rsidP="00430C21"/>
    <w:p w:rsidR="00AC440A" w:rsidRDefault="00AC440A">
      <w:r>
        <w:br w:type="page"/>
      </w:r>
    </w:p>
    <w:p w:rsidR="00AC440A" w:rsidRPr="003963CE" w:rsidRDefault="00AC440A" w:rsidP="00AC440A">
      <w:pPr>
        <w:rPr>
          <w:b/>
          <w:sz w:val="32"/>
        </w:rPr>
      </w:pPr>
      <w:r w:rsidRPr="00953003">
        <w:rPr>
          <w:b/>
          <w:sz w:val="32"/>
        </w:rPr>
        <w:lastRenderedPageBreak/>
        <w:t xml:space="preserve">Focus Area 2: Urban Planning and Design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AC440A" w:rsidRPr="00ED2F16" w:rsidTr="00F91A1E">
        <w:tc>
          <w:tcPr>
            <w:tcW w:w="667" w:type="pct"/>
            <w:tcBorders>
              <w:top w:val="single" w:sz="4" w:space="0" w:color="auto"/>
              <w:bottom w:val="single" w:sz="4" w:space="0" w:color="auto"/>
            </w:tcBorders>
          </w:tcPr>
          <w:p w:rsidR="00AC440A" w:rsidRPr="00ED2F16" w:rsidRDefault="00AC440A" w:rsidP="00F91A1E">
            <w:pPr>
              <w:rPr>
                <w:b/>
              </w:rPr>
            </w:pPr>
            <w:r w:rsidRPr="00ED2F16">
              <w:rPr>
                <w:b/>
              </w:rPr>
              <w:t>Strategic Result</w:t>
            </w:r>
          </w:p>
        </w:tc>
        <w:tc>
          <w:tcPr>
            <w:tcW w:w="4333" w:type="pct"/>
            <w:gridSpan w:val="3"/>
            <w:tcBorders>
              <w:top w:val="single" w:sz="4" w:space="0" w:color="auto"/>
              <w:bottom w:val="single" w:sz="4" w:space="0" w:color="auto"/>
            </w:tcBorders>
          </w:tcPr>
          <w:p w:rsidR="00AC440A" w:rsidRDefault="00AC440A" w:rsidP="00F91A1E">
            <w:r w:rsidRPr="00FB1C4E">
              <w:t xml:space="preserve">City, regional and national authorities have </w:t>
            </w:r>
            <w:proofErr w:type="gramStart"/>
            <w:r w:rsidRPr="00FB1C4E">
              <w:t>adopted  improved</w:t>
            </w:r>
            <w:proofErr w:type="gramEnd"/>
            <w:r w:rsidRPr="00FB1C4E">
              <w:t xml:space="preserve"> policies, plans and designs for more compact, socially inclusive, better integrated and connected cities that foster sustainable urban development and are resilient to climate change.</w:t>
            </w:r>
          </w:p>
          <w:p w:rsidR="00BF59FA" w:rsidRPr="00FB1C4E" w:rsidRDefault="00BF59FA" w:rsidP="00F91A1E"/>
        </w:tc>
      </w:tr>
      <w:tr w:rsidR="00AC440A" w:rsidRPr="00ED2F16" w:rsidTr="00F91A1E">
        <w:tc>
          <w:tcPr>
            <w:tcW w:w="667" w:type="pct"/>
            <w:tcBorders>
              <w:top w:val="single" w:sz="4" w:space="0" w:color="auto"/>
              <w:bottom w:val="single" w:sz="4" w:space="0" w:color="auto"/>
            </w:tcBorders>
          </w:tcPr>
          <w:p w:rsidR="00AC440A" w:rsidRPr="00ED2F16" w:rsidRDefault="00AC440A" w:rsidP="00F91A1E">
            <w:pPr>
              <w:rPr>
                <w:u w:val="single"/>
              </w:rPr>
            </w:pPr>
            <w:r w:rsidRPr="00ED2F16">
              <w:rPr>
                <w:u w:val="single"/>
              </w:rPr>
              <w:t>Indicator</w:t>
            </w:r>
          </w:p>
        </w:tc>
        <w:tc>
          <w:tcPr>
            <w:tcW w:w="4333" w:type="pct"/>
            <w:gridSpan w:val="3"/>
            <w:tcBorders>
              <w:top w:val="single" w:sz="4" w:space="0" w:color="auto"/>
              <w:bottom w:val="single" w:sz="4" w:space="0" w:color="auto"/>
            </w:tcBorders>
          </w:tcPr>
          <w:p w:rsidR="00AC440A" w:rsidRDefault="00AC440A" w:rsidP="00F91A1E">
            <w:r w:rsidRPr="00ED2F16">
              <w:t>Number of partner city, regional and national authorities that have implemented urban policies, plans and designs that apply principles and standards derived from best practices.</w:t>
            </w:r>
          </w:p>
          <w:p w:rsidR="00BF59FA" w:rsidRPr="00ED2F16" w:rsidRDefault="00BF59FA" w:rsidP="00F91A1E"/>
        </w:tc>
      </w:tr>
      <w:tr w:rsidR="00AC440A" w:rsidRPr="00ED2F16" w:rsidTr="00F91A1E">
        <w:tc>
          <w:tcPr>
            <w:tcW w:w="667" w:type="pct"/>
            <w:tcBorders>
              <w:top w:val="single" w:sz="4" w:space="0" w:color="auto"/>
              <w:bottom w:val="single" w:sz="4" w:space="0" w:color="auto"/>
            </w:tcBorders>
          </w:tcPr>
          <w:p w:rsidR="00AC440A" w:rsidRPr="00ED2F16" w:rsidRDefault="00AC440A" w:rsidP="00F91A1E">
            <w:pPr>
              <w:rPr>
                <w:b/>
              </w:rPr>
            </w:pPr>
            <w:r w:rsidRPr="00ED2F16">
              <w:rPr>
                <w:b/>
              </w:rPr>
              <w:t>Expected Accomplishment</w:t>
            </w:r>
          </w:p>
        </w:tc>
        <w:tc>
          <w:tcPr>
            <w:tcW w:w="1446" w:type="pct"/>
            <w:tcBorders>
              <w:top w:val="single" w:sz="4" w:space="0" w:color="auto"/>
              <w:bottom w:val="single" w:sz="4" w:space="0" w:color="auto"/>
            </w:tcBorders>
          </w:tcPr>
          <w:p w:rsidR="00AC440A" w:rsidRDefault="007A576E" w:rsidP="00F91A1E">
            <w:r w:rsidRPr="00F32DC7">
              <w:rPr>
                <w:iCs/>
              </w:rPr>
              <w:t xml:space="preserve">Improved  </w:t>
            </w:r>
            <w:r>
              <w:rPr>
                <w:iCs/>
              </w:rPr>
              <w:t xml:space="preserve">national urban </w:t>
            </w:r>
            <w:r w:rsidRPr="00F32DC7">
              <w:rPr>
                <w:iCs/>
              </w:rPr>
              <w:t xml:space="preserve">policies and </w:t>
            </w:r>
            <w:r>
              <w:rPr>
                <w:iCs/>
              </w:rPr>
              <w:t xml:space="preserve">spatial </w:t>
            </w:r>
            <w:r w:rsidRPr="00F32DC7">
              <w:rPr>
                <w:iCs/>
              </w:rPr>
              <w:t xml:space="preserve">frameworks for  compact, integrated and connected cities adopted by partner </w:t>
            </w:r>
            <w:r>
              <w:rPr>
                <w:iCs/>
              </w:rPr>
              <w:t>metropolitan</w:t>
            </w:r>
            <w:r w:rsidRPr="00F32DC7">
              <w:rPr>
                <w:iCs/>
              </w:rPr>
              <w:t>, regional and national authorities</w:t>
            </w:r>
            <w:r w:rsidR="00AC440A" w:rsidRPr="00ED2F16">
              <w:t xml:space="preserve"> </w:t>
            </w:r>
          </w:p>
          <w:p w:rsidR="007A576E" w:rsidRPr="00ED2F16" w:rsidRDefault="007A576E" w:rsidP="00F91A1E"/>
          <w:p w:rsidR="00AC440A" w:rsidRPr="00ED2F16" w:rsidRDefault="00AC440A" w:rsidP="00F91A1E">
            <w:pPr>
              <w:pStyle w:val="ListParagraph"/>
              <w:ind w:left="360"/>
            </w:pPr>
          </w:p>
        </w:tc>
        <w:tc>
          <w:tcPr>
            <w:tcW w:w="1479" w:type="pct"/>
            <w:tcBorders>
              <w:top w:val="single" w:sz="4" w:space="0" w:color="auto"/>
              <w:bottom w:val="single" w:sz="4" w:space="0" w:color="auto"/>
            </w:tcBorders>
          </w:tcPr>
          <w:p w:rsidR="00AC440A" w:rsidRPr="00ED2F16" w:rsidRDefault="007A576E" w:rsidP="00F91A1E">
            <w:r>
              <w:rPr>
                <w:iCs/>
              </w:rPr>
              <w:t xml:space="preserve">Improved policies, plans and </w:t>
            </w:r>
            <w:r w:rsidRPr="00F32DC7">
              <w:rPr>
                <w:iCs/>
              </w:rPr>
              <w:t>designs for compact, integrated and connected cities</w:t>
            </w:r>
            <w:r>
              <w:rPr>
                <w:iCs/>
              </w:rPr>
              <w:t xml:space="preserve"> and </w:t>
            </w:r>
            <w:proofErr w:type="spellStart"/>
            <w:r>
              <w:rPr>
                <w:iCs/>
              </w:rPr>
              <w:t>neighbourhoods</w:t>
            </w:r>
            <w:proofErr w:type="spellEnd"/>
            <w:r>
              <w:rPr>
                <w:iCs/>
              </w:rPr>
              <w:t xml:space="preserve"> adopted by partner cities</w:t>
            </w:r>
          </w:p>
        </w:tc>
        <w:tc>
          <w:tcPr>
            <w:tcW w:w="1408" w:type="pct"/>
            <w:tcBorders>
              <w:top w:val="single" w:sz="4" w:space="0" w:color="auto"/>
              <w:bottom w:val="single" w:sz="4" w:space="0" w:color="auto"/>
            </w:tcBorders>
          </w:tcPr>
          <w:p w:rsidR="00AC440A" w:rsidRPr="00ED2F16" w:rsidRDefault="007A576E" w:rsidP="00F91A1E">
            <w:pPr>
              <w:tabs>
                <w:tab w:val="left" w:pos="185"/>
              </w:tabs>
              <w:suppressAutoHyphens/>
              <w:spacing w:after="120" w:line="240" w:lineRule="exact"/>
              <w:ind w:right="43"/>
            </w:pPr>
            <w:r w:rsidRPr="00F32DC7">
              <w:rPr>
                <w:iCs/>
              </w:rPr>
              <w:t xml:space="preserve">Improved </w:t>
            </w:r>
            <w:r>
              <w:rPr>
                <w:iCs/>
              </w:rPr>
              <w:t xml:space="preserve">policies, plans and strategies </w:t>
            </w:r>
            <w:r w:rsidRPr="00F32DC7">
              <w:rPr>
                <w:iCs/>
              </w:rPr>
              <w:t xml:space="preserve"> that contribute to the mitigation of and adaptation to climate change </w:t>
            </w:r>
            <w:r>
              <w:rPr>
                <w:iCs/>
              </w:rPr>
              <w:t>adopted by</w:t>
            </w:r>
            <w:r w:rsidRPr="00F32DC7">
              <w:rPr>
                <w:iCs/>
              </w:rPr>
              <w:t xml:space="preserve"> partner cit</w:t>
            </w:r>
            <w:r>
              <w:rPr>
                <w:iCs/>
              </w:rPr>
              <w:t xml:space="preserve">y, </w:t>
            </w:r>
            <w:r w:rsidRPr="00F32DC7">
              <w:rPr>
                <w:iCs/>
              </w:rPr>
              <w:t>regional and national authorities</w:t>
            </w:r>
          </w:p>
          <w:p w:rsidR="00AC440A" w:rsidRPr="00ED2F16" w:rsidRDefault="00AC440A" w:rsidP="00F91A1E">
            <w:pPr>
              <w:tabs>
                <w:tab w:val="left" w:pos="185"/>
              </w:tabs>
              <w:suppressAutoHyphens/>
              <w:spacing w:after="120" w:line="240" w:lineRule="exact"/>
              <w:ind w:left="269" w:right="43" w:hanging="180"/>
            </w:pPr>
          </w:p>
        </w:tc>
      </w:tr>
      <w:tr w:rsidR="00AC440A" w:rsidRPr="00ED2F16" w:rsidTr="00F91A1E">
        <w:tc>
          <w:tcPr>
            <w:tcW w:w="667" w:type="pct"/>
            <w:tcBorders>
              <w:top w:val="single" w:sz="4" w:space="0" w:color="auto"/>
            </w:tcBorders>
          </w:tcPr>
          <w:p w:rsidR="00AC440A" w:rsidRPr="00ED2F16" w:rsidRDefault="00AC440A" w:rsidP="00F91A1E">
            <w:pPr>
              <w:rPr>
                <w:u w:val="single"/>
              </w:rPr>
            </w:pPr>
            <w:r w:rsidRPr="00ED2F16">
              <w:rPr>
                <w:u w:val="single"/>
              </w:rPr>
              <w:t>Indicator</w:t>
            </w:r>
          </w:p>
        </w:tc>
        <w:tc>
          <w:tcPr>
            <w:tcW w:w="1446" w:type="pct"/>
            <w:tcBorders>
              <w:top w:val="single" w:sz="4" w:space="0" w:color="auto"/>
            </w:tcBorders>
          </w:tcPr>
          <w:p w:rsidR="00AC440A" w:rsidRPr="00ED2F16" w:rsidRDefault="007A576E" w:rsidP="00F91A1E">
            <w:pPr>
              <w:tabs>
                <w:tab w:val="left" w:pos="185"/>
              </w:tabs>
              <w:suppressAutoHyphens/>
              <w:spacing w:after="120" w:line="240" w:lineRule="exact"/>
              <w:ind w:right="43"/>
            </w:pPr>
            <w:r>
              <w:rPr>
                <w:iCs/>
              </w:rPr>
              <w:t>N</w:t>
            </w:r>
            <w:r w:rsidRPr="00F32DC7">
              <w:rPr>
                <w:iCs/>
              </w:rPr>
              <w:t xml:space="preserve">umber of partner </w:t>
            </w:r>
            <w:r>
              <w:rPr>
                <w:iCs/>
              </w:rPr>
              <w:t xml:space="preserve">metropolitan </w:t>
            </w:r>
            <w:r w:rsidRPr="00F32DC7">
              <w:rPr>
                <w:iCs/>
              </w:rPr>
              <w:t xml:space="preserve">, regional and national authorities that have adopted  </w:t>
            </w:r>
            <w:r>
              <w:rPr>
                <w:iCs/>
              </w:rPr>
              <w:t xml:space="preserve">national urban </w:t>
            </w:r>
            <w:r w:rsidRPr="00F32DC7">
              <w:rPr>
                <w:iCs/>
              </w:rPr>
              <w:t xml:space="preserve">policies </w:t>
            </w:r>
            <w:r>
              <w:rPr>
                <w:iCs/>
              </w:rPr>
              <w:t xml:space="preserve">or spatial </w:t>
            </w:r>
            <w:r w:rsidRPr="00F32DC7">
              <w:rPr>
                <w:iCs/>
              </w:rPr>
              <w:t>frameworks that support compact, integrated and connected cities</w:t>
            </w:r>
          </w:p>
        </w:tc>
        <w:tc>
          <w:tcPr>
            <w:tcW w:w="1479" w:type="pct"/>
            <w:tcBorders>
              <w:top w:val="single" w:sz="4" w:space="0" w:color="auto"/>
            </w:tcBorders>
          </w:tcPr>
          <w:p w:rsidR="00AC440A" w:rsidRPr="00ED2F16" w:rsidRDefault="007A576E" w:rsidP="00F91A1E">
            <w:pPr>
              <w:tabs>
                <w:tab w:val="left" w:pos="185"/>
              </w:tabs>
              <w:suppressAutoHyphens/>
              <w:spacing w:after="120" w:line="240" w:lineRule="exact"/>
              <w:ind w:right="43"/>
            </w:pPr>
            <w:r>
              <w:rPr>
                <w:iCs/>
              </w:rPr>
              <w:t>N</w:t>
            </w:r>
            <w:r w:rsidRPr="00F32DC7">
              <w:rPr>
                <w:iCs/>
              </w:rPr>
              <w:t>umber of partner cit</w:t>
            </w:r>
            <w:r>
              <w:rPr>
                <w:iCs/>
              </w:rPr>
              <w:t>ies</w:t>
            </w:r>
            <w:r w:rsidRPr="00F32DC7">
              <w:rPr>
                <w:iCs/>
              </w:rPr>
              <w:t xml:space="preserve">, that have adopted </w:t>
            </w:r>
            <w:r>
              <w:rPr>
                <w:iCs/>
              </w:rPr>
              <w:t xml:space="preserve">policies, </w:t>
            </w:r>
            <w:r w:rsidRPr="00F32DC7">
              <w:rPr>
                <w:iCs/>
              </w:rPr>
              <w:t>plans and designs for compact,  integrated and connected cities</w:t>
            </w:r>
            <w:r>
              <w:rPr>
                <w:iCs/>
              </w:rPr>
              <w:t xml:space="preserve"> and </w:t>
            </w:r>
            <w:proofErr w:type="spellStart"/>
            <w:r>
              <w:rPr>
                <w:iCs/>
              </w:rPr>
              <w:t>neighbourhoods</w:t>
            </w:r>
            <w:proofErr w:type="spellEnd"/>
          </w:p>
        </w:tc>
        <w:tc>
          <w:tcPr>
            <w:tcW w:w="1408" w:type="pct"/>
            <w:tcBorders>
              <w:top w:val="single" w:sz="4" w:space="0" w:color="auto"/>
            </w:tcBorders>
          </w:tcPr>
          <w:p w:rsidR="00AC440A" w:rsidRPr="00ED2F16" w:rsidRDefault="007A576E" w:rsidP="00F91A1E">
            <w:pPr>
              <w:tabs>
                <w:tab w:val="left" w:pos="185"/>
              </w:tabs>
              <w:suppressAutoHyphens/>
              <w:spacing w:after="120" w:line="240" w:lineRule="exact"/>
              <w:ind w:right="43"/>
            </w:pPr>
            <w:r>
              <w:rPr>
                <w:iCs/>
              </w:rPr>
              <w:t>N</w:t>
            </w:r>
            <w:r w:rsidRPr="00F32DC7">
              <w:rPr>
                <w:iCs/>
              </w:rPr>
              <w:t xml:space="preserve">umber of partner city, regional and national authorities that have adopted </w:t>
            </w:r>
            <w:r>
              <w:rPr>
                <w:iCs/>
              </w:rPr>
              <w:t xml:space="preserve">policies, plans and </w:t>
            </w:r>
            <w:r w:rsidRPr="00F32DC7">
              <w:rPr>
                <w:iCs/>
              </w:rPr>
              <w:t>strategies that contribute to climate change mitigation and adaptation</w:t>
            </w:r>
          </w:p>
          <w:p w:rsidR="00AC440A" w:rsidRPr="00ED2F16" w:rsidRDefault="00AC440A" w:rsidP="00F91A1E">
            <w:pPr>
              <w:pStyle w:val="ListParagraph"/>
              <w:ind w:left="360"/>
            </w:pPr>
          </w:p>
        </w:tc>
      </w:tr>
      <w:tr w:rsidR="00AC440A" w:rsidRPr="00ED2F16" w:rsidTr="00F91A1E">
        <w:tc>
          <w:tcPr>
            <w:tcW w:w="667" w:type="pct"/>
            <w:tcBorders>
              <w:top w:val="single" w:sz="4" w:space="0" w:color="auto"/>
              <w:bottom w:val="single" w:sz="4" w:space="0" w:color="auto"/>
            </w:tcBorders>
          </w:tcPr>
          <w:p w:rsidR="00AC440A" w:rsidRPr="00ED2F16" w:rsidRDefault="00AC440A" w:rsidP="00F91A1E">
            <w:pPr>
              <w:rPr>
                <w:b/>
              </w:rPr>
            </w:pPr>
            <w:r w:rsidRPr="00ED2F16">
              <w:rPr>
                <w:b/>
              </w:rPr>
              <w:t>Sub Expected Accomplishment</w:t>
            </w:r>
          </w:p>
        </w:tc>
        <w:tc>
          <w:tcPr>
            <w:tcW w:w="1446" w:type="pct"/>
            <w:tcBorders>
              <w:top w:val="single" w:sz="4" w:space="0" w:color="auto"/>
              <w:bottom w:val="single" w:sz="4" w:space="0" w:color="auto"/>
            </w:tcBorders>
          </w:tcPr>
          <w:p w:rsidR="00AC440A" w:rsidRPr="00ED2F16" w:rsidRDefault="00AC440A" w:rsidP="00F91A1E">
            <w:r w:rsidRPr="00ED2F16">
              <w:t>Improved policy dialogue on urban policies within a spatial framework in  global fora, as well as by national, regional and metropolitan authorities</w:t>
            </w:r>
          </w:p>
          <w:p w:rsidR="00AC440A" w:rsidRPr="00ED2F16" w:rsidRDefault="00AC440A" w:rsidP="00F91A1E"/>
          <w:p w:rsidR="00AC440A" w:rsidRDefault="00AC440A" w:rsidP="00F91A1E">
            <w:r w:rsidRPr="00ED2F16">
              <w:t>Strengthened capacities of institutions linked to national, regional and metropolitan authorities to develop urban policies and plans for compact,  socially inclusive, integrated and connected system of cities</w:t>
            </w:r>
          </w:p>
          <w:p w:rsidR="00AC440A" w:rsidRPr="00ED2F16" w:rsidRDefault="00AC440A" w:rsidP="00F91A1E"/>
        </w:tc>
        <w:tc>
          <w:tcPr>
            <w:tcW w:w="1479" w:type="pct"/>
            <w:tcBorders>
              <w:top w:val="single" w:sz="4" w:space="0" w:color="auto"/>
              <w:bottom w:val="single" w:sz="4" w:space="0" w:color="auto"/>
            </w:tcBorders>
          </w:tcPr>
          <w:p w:rsidR="00AC440A" w:rsidRPr="00ED2F16" w:rsidRDefault="00AC440A" w:rsidP="00F91A1E">
            <w:r w:rsidRPr="00ED2F16">
              <w:t xml:space="preserve">Improved policy dialogue  at local, national and global level on innovations in urban planning and design by city authorities </w:t>
            </w:r>
          </w:p>
          <w:p w:rsidR="00AC440A" w:rsidRPr="00ED2F16" w:rsidRDefault="00AC440A" w:rsidP="00F91A1E">
            <w:pPr>
              <w:pStyle w:val="ListParagraph"/>
              <w:ind w:left="449"/>
            </w:pPr>
          </w:p>
          <w:p w:rsidR="00AC440A" w:rsidRPr="00ED2F16" w:rsidRDefault="00AC440A" w:rsidP="00F91A1E">
            <w:r w:rsidRPr="00ED2F16">
              <w:t>Strengthened capacities of city institutions to develop plans and designs for compact,  socially inclusive, integrated and connected cities and neighbourhoods</w:t>
            </w:r>
          </w:p>
        </w:tc>
        <w:tc>
          <w:tcPr>
            <w:tcW w:w="1408" w:type="pct"/>
            <w:tcBorders>
              <w:top w:val="single" w:sz="4" w:space="0" w:color="auto"/>
              <w:bottom w:val="single" w:sz="4" w:space="0" w:color="auto"/>
            </w:tcBorders>
          </w:tcPr>
          <w:p w:rsidR="00AC440A" w:rsidRPr="00ED2F16" w:rsidRDefault="00AC440A" w:rsidP="00F91A1E">
            <w:r w:rsidRPr="00ED2F16">
              <w:t>Improved policy dialogue on the urban dimension of climate change in  global fora, as well as by national, regional and local authorities</w:t>
            </w:r>
          </w:p>
          <w:p w:rsidR="00AC440A" w:rsidRPr="00ED2F16" w:rsidRDefault="00AC440A" w:rsidP="00F91A1E"/>
          <w:p w:rsidR="00AC440A" w:rsidRPr="00ED2F16" w:rsidRDefault="00AC440A" w:rsidP="00F91A1E">
            <w:r w:rsidRPr="00ED2F16">
              <w:t>Strengthened capacity of partner city, regional and national authorities to develop  policies and strategies that contribute to the mitigation of and adaptation to climate change</w:t>
            </w:r>
          </w:p>
        </w:tc>
      </w:tr>
    </w:tbl>
    <w:p w:rsidR="00AC440A" w:rsidRDefault="00AC440A" w:rsidP="00AC440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AC440A" w:rsidRPr="00ED2F16" w:rsidTr="00F91A1E">
        <w:tc>
          <w:tcPr>
            <w:tcW w:w="667" w:type="pct"/>
            <w:tcBorders>
              <w:top w:val="single" w:sz="4" w:space="0" w:color="auto"/>
              <w:bottom w:val="single" w:sz="4" w:space="0" w:color="auto"/>
            </w:tcBorders>
          </w:tcPr>
          <w:p w:rsidR="00AC440A" w:rsidRPr="00ED2F16" w:rsidRDefault="00AC440A" w:rsidP="00F91A1E">
            <w:pPr>
              <w:rPr>
                <w:u w:val="single"/>
              </w:rPr>
            </w:pPr>
            <w:r w:rsidRPr="00ED2F16">
              <w:rPr>
                <w:u w:val="single"/>
              </w:rPr>
              <w:lastRenderedPageBreak/>
              <w:t>Indicators</w:t>
            </w:r>
          </w:p>
        </w:tc>
        <w:tc>
          <w:tcPr>
            <w:tcW w:w="1446" w:type="pct"/>
            <w:tcBorders>
              <w:top w:val="single" w:sz="4" w:space="0" w:color="auto"/>
              <w:bottom w:val="single" w:sz="4" w:space="0" w:color="auto"/>
            </w:tcBorders>
          </w:tcPr>
          <w:p w:rsidR="00AC440A" w:rsidRDefault="00AC440A" w:rsidP="00F91A1E">
            <w:r w:rsidRPr="00ED2F16">
              <w:t>Number of formal policy dialogue meetings, held with engagement of key pla</w:t>
            </w:r>
            <w:r>
              <w:t>yers, organised by counterparts</w:t>
            </w:r>
          </w:p>
          <w:p w:rsidR="00AC440A" w:rsidRDefault="00AC440A" w:rsidP="00F91A1E">
            <w:pPr>
              <w:pStyle w:val="ListParagraph"/>
              <w:ind w:left="449"/>
            </w:pPr>
          </w:p>
          <w:p w:rsidR="00AC440A" w:rsidRPr="00ED2F16" w:rsidRDefault="00AC440A" w:rsidP="00F91A1E">
            <w:r w:rsidRPr="00ED2F16">
              <w:t>Number of national, regional and metropolitan institutions producing quality contributions into urban planning and policy reform  process</w:t>
            </w:r>
          </w:p>
        </w:tc>
        <w:tc>
          <w:tcPr>
            <w:tcW w:w="1479" w:type="pct"/>
            <w:tcBorders>
              <w:top w:val="single" w:sz="4" w:space="0" w:color="auto"/>
              <w:bottom w:val="single" w:sz="4" w:space="0" w:color="auto"/>
            </w:tcBorders>
          </w:tcPr>
          <w:p w:rsidR="00AC440A" w:rsidRPr="00ED2F16" w:rsidRDefault="00AC440A" w:rsidP="00F91A1E">
            <w:r w:rsidRPr="00ED2F16">
              <w:t>Number of formal policy dialogue meetings held with engagement of key pla</w:t>
            </w:r>
            <w:r>
              <w:t>yers, organised by counterparts</w:t>
            </w:r>
          </w:p>
          <w:p w:rsidR="00AC440A" w:rsidRDefault="00AC440A" w:rsidP="00F91A1E"/>
          <w:p w:rsidR="00AC440A" w:rsidRPr="00ED2F16" w:rsidRDefault="00AC440A" w:rsidP="00F91A1E">
            <w:r w:rsidRPr="00ED2F16">
              <w:t>Number of city institutions producing quality contributions into the planning and design process</w:t>
            </w:r>
          </w:p>
        </w:tc>
        <w:tc>
          <w:tcPr>
            <w:tcW w:w="1408" w:type="pct"/>
            <w:tcBorders>
              <w:top w:val="single" w:sz="4" w:space="0" w:color="auto"/>
              <w:bottom w:val="single" w:sz="4" w:space="0" w:color="auto"/>
            </w:tcBorders>
          </w:tcPr>
          <w:p w:rsidR="00AC440A" w:rsidRDefault="00AC440A" w:rsidP="00F91A1E">
            <w:r w:rsidRPr="00ED2F16">
              <w:t>Number of formal policy dialogue meetings held with engagement of key pla</w:t>
            </w:r>
            <w:r>
              <w:t>yers, organised by counterparts</w:t>
            </w:r>
          </w:p>
          <w:p w:rsidR="00AC440A" w:rsidRDefault="00AC440A" w:rsidP="00F91A1E"/>
          <w:p w:rsidR="00AC440A" w:rsidRDefault="00AC440A" w:rsidP="00F91A1E">
            <w:r w:rsidRPr="00ED2F16">
              <w:t>Number of national, regional and city institutions producing quality contributions into climate change adaptation and mitigation strategies</w:t>
            </w:r>
          </w:p>
          <w:p w:rsidR="00AC440A" w:rsidRPr="00ED2F16" w:rsidRDefault="00AC440A" w:rsidP="00F91A1E">
            <w:pPr>
              <w:pStyle w:val="ListParagraph"/>
              <w:ind w:left="437"/>
            </w:pPr>
          </w:p>
        </w:tc>
      </w:tr>
    </w:tbl>
    <w:p w:rsidR="00AC440A" w:rsidRDefault="00AC440A" w:rsidP="00AC440A"/>
    <w:p w:rsidR="00643EAA" w:rsidRDefault="00643EAA">
      <w:r>
        <w:br w:type="page"/>
      </w:r>
    </w:p>
    <w:p w:rsidR="00BF59FA" w:rsidRPr="00BF59FA" w:rsidRDefault="00BF59FA" w:rsidP="00BF59FA">
      <w:pPr>
        <w:rPr>
          <w:b/>
          <w:sz w:val="32"/>
          <w:szCs w:val="32"/>
        </w:rPr>
      </w:pPr>
      <w:r>
        <w:rPr>
          <w:b/>
          <w:sz w:val="32"/>
          <w:szCs w:val="32"/>
        </w:rPr>
        <w:lastRenderedPageBreak/>
        <w:t xml:space="preserve">Focus Area </w:t>
      </w:r>
      <w:r w:rsidRPr="00BF59FA">
        <w:rPr>
          <w:b/>
          <w:sz w:val="32"/>
          <w:szCs w:val="32"/>
        </w:rPr>
        <w:t>3: URBAN ECONOMY</w:t>
      </w:r>
    </w:p>
    <w:tbl>
      <w:tblPr>
        <w:tblStyle w:val="TableGrid"/>
        <w:tblW w:w="48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4392"/>
        <w:gridCol w:w="4495"/>
        <w:gridCol w:w="4271"/>
      </w:tblGrid>
      <w:tr w:rsidR="00643EAA" w:rsidRPr="00920E28" w:rsidTr="00F00949">
        <w:tc>
          <w:tcPr>
            <w:tcW w:w="647" w:type="pct"/>
            <w:tcBorders>
              <w:top w:val="single" w:sz="4" w:space="0" w:color="auto"/>
              <w:bottom w:val="single" w:sz="4" w:space="0" w:color="auto"/>
            </w:tcBorders>
          </w:tcPr>
          <w:p w:rsidR="00643EAA" w:rsidRPr="00571C0E" w:rsidRDefault="00643EAA" w:rsidP="00F91A1E">
            <w:pPr>
              <w:rPr>
                <w:b/>
                <w:i/>
              </w:rPr>
            </w:pPr>
            <w:r w:rsidRPr="00EE5714">
              <w:rPr>
                <w:b/>
                <w:i/>
              </w:rPr>
              <w:t>Strategic Result</w:t>
            </w:r>
          </w:p>
        </w:tc>
        <w:tc>
          <w:tcPr>
            <w:tcW w:w="4353" w:type="pct"/>
            <w:gridSpan w:val="3"/>
            <w:tcBorders>
              <w:top w:val="single" w:sz="4" w:space="0" w:color="auto"/>
              <w:bottom w:val="single" w:sz="4" w:space="0" w:color="auto"/>
            </w:tcBorders>
          </w:tcPr>
          <w:p w:rsidR="00643EAA" w:rsidRPr="00920E28" w:rsidRDefault="00643EAA" w:rsidP="00F91A1E">
            <w:pPr>
              <w:ind w:right="857"/>
              <w:rPr>
                <w:rFonts w:eastAsia="SimSun"/>
                <w:color w:val="000000"/>
              </w:rPr>
            </w:pPr>
            <w:r w:rsidRPr="00920E28">
              <w:rPr>
                <w:rFonts w:eastAsia="SimSun"/>
                <w:color w:val="000000"/>
              </w:rPr>
              <w:t>City, regional and national authorities have adopted or implemented improved urban policies and strategies that are supportive of economic development</w:t>
            </w:r>
            <w:r>
              <w:rPr>
                <w:rFonts w:eastAsia="SimSun"/>
                <w:strike/>
                <w:color w:val="000000"/>
              </w:rPr>
              <w:t xml:space="preserve">, </w:t>
            </w:r>
            <w:r w:rsidRPr="00920E28">
              <w:rPr>
                <w:rFonts w:eastAsia="SimSun"/>
                <w:color w:val="000000"/>
              </w:rPr>
              <w:t>with particular focus on y</w:t>
            </w:r>
            <w:r>
              <w:rPr>
                <w:rFonts w:eastAsia="SimSun"/>
                <w:color w:val="000000"/>
              </w:rPr>
              <w:t xml:space="preserve">oung men </w:t>
            </w:r>
            <w:r w:rsidRPr="00920E28">
              <w:rPr>
                <w:rFonts w:eastAsia="SimSun"/>
                <w:color w:val="000000"/>
              </w:rPr>
              <w:t xml:space="preserve">  and </w:t>
            </w:r>
            <w:r>
              <w:rPr>
                <w:rFonts w:eastAsia="SimSun"/>
                <w:color w:val="000000"/>
              </w:rPr>
              <w:t xml:space="preserve">women, and </w:t>
            </w:r>
            <w:r w:rsidRPr="00920E28">
              <w:rPr>
                <w:rFonts w:eastAsia="SimSun"/>
                <w:color w:val="000000"/>
              </w:rPr>
              <w:t xml:space="preserve">enhanced urban and municipal finance. </w:t>
            </w:r>
          </w:p>
          <w:p w:rsidR="00643EAA" w:rsidRPr="00920E28" w:rsidRDefault="00643EAA" w:rsidP="00F91A1E">
            <w:pPr>
              <w:ind w:right="857"/>
              <w:rPr>
                <w:rFonts w:eastAsia="SimSun"/>
                <w:color w:val="000000"/>
              </w:rPr>
            </w:pPr>
          </w:p>
        </w:tc>
      </w:tr>
      <w:tr w:rsidR="00643EAA" w:rsidRPr="00920E28" w:rsidTr="00F00949">
        <w:tc>
          <w:tcPr>
            <w:tcW w:w="647" w:type="pct"/>
            <w:tcBorders>
              <w:top w:val="single" w:sz="4" w:space="0" w:color="auto"/>
            </w:tcBorders>
          </w:tcPr>
          <w:p w:rsidR="00643EAA" w:rsidRPr="00920E28" w:rsidRDefault="00643EAA" w:rsidP="00F91A1E">
            <w:pPr>
              <w:rPr>
                <w:u w:val="single"/>
              </w:rPr>
            </w:pPr>
            <w:r w:rsidRPr="00920E28">
              <w:rPr>
                <w:u w:val="single"/>
              </w:rPr>
              <w:t>Indicator</w:t>
            </w:r>
          </w:p>
        </w:tc>
        <w:tc>
          <w:tcPr>
            <w:tcW w:w="4353" w:type="pct"/>
            <w:gridSpan w:val="3"/>
            <w:tcBorders>
              <w:top w:val="single" w:sz="4" w:space="0" w:color="auto"/>
            </w:tcBorders>
          </w:tcPr>
          <w:p w:rsidR="00643EAA" w:rsidRPr="00F91A1E" w:rsidRDefault="00643EAA" w:rsidP="00F91A1E">
            <w:pPr>
              <w:rPr>
                <w:rFonts w:eastAsia="SimSun"/>
                <w:color w:val="000000"/>
              </w:rPr>
            </w:pPr>
            <w:r w:rsidRPr="00F91A1E">
              <w:rPr>
                <w:rFonts w:eastAsia="SimSun"/>
                <w:color w:val="000000"/>
              </w:rPr>
              <w:t xml:space="preserve">Number of partner cities, regional and national authorities that have adopted or implemented improved urban strategies and policies supportive of the creation of decent jobs and livelihoods for  youth </w:t>
            </w:r>
          </w:p>
          <w:p w:rsidR="00F91A1E" w:rsidRDefault="00F91A1E" w:rsidP="00F91A1E">
            <w:pPr>
              <w:rPr>
                <w:rFonts w:eastAsia="SimSun"/>
                <w:color w:val="000000"/>
              </w:rPr>
            </w:pPr>
          </w:p>
          <w:p w:rsidR="00643EAA" w:rsidRPr="00F91A1E" w:rsidRDefault="00643EAA" w:rsidP="00F91A1E">
            <w:pPr>
              <w:rPr>
                <w:rFonts w:eastAsia="SimSun"/>
                <w:color w:val="000000"/>
              </w:rPr>
            </w:pPr>
            <w:r w:rsidRPr="00F91A1E">
              <w:rPr>
                <w:rFonts w:eastAsia="SimSun"/>
                <w:color w:val="000000"/>
              </w:rPr>
              <w:t>Number of partner cities, regional and national authorities that have adopted or implemented improved urban strategies and policies supportive of enhanced urban and municipal finance</w:t>
            </w:r>
          </w:p>
        </w:tc>
      </w:tr>
      <w:tr w:rsidR="00643EAA" w:rsidRPr="00920E28" w:rsidTr="00F00949">
        <w:tc>
          <w:tcPr>
            <w:tcW w:w="647" w:type="pct"/>
            <w:tcBorders>
              <w:bottom w:val="single" w:sz="4" w:space="0" w:color="auto"/>
            </w:tcBorders>
          </w:tcPr>
          <w:p w:rsidR="00643EAA" w:rsidRPr="00920E28" w:rsidRDefault="00643EAA" w:rsidP="00F91A1E"/>
        </w:tc>
        <w:tc>
          <w:tcPr>
            <w:tcW w:w="1453" w:type="pct"/>
            <w:tcBorders>
              <w:bottom w:val="single" w:sz="4" w:space="0" w:color="auto"/>
            </w:tcBorders>
          </w:tcPr>
          <w:p w:rsidR="00643EAA" w:rsidRPr="00920E28" w:rsidRDefault="00643EAA" w:rsidP="00F91A1E"/>
        </w:tc>
        <w:tc>
          <w:tcPr>
            <w:tcW w:w="1487" w:type="pct"/>
            <w:tcBorders>
              <w:bottom w:val="single" w:sz="4" w:space="0" w:color="auto"/>
            </w:tcBorders>
          </w:tcPr>
          <w:p w:rsidR="00643EAA" w:rsidRPr="00920E28" w:rsidRDefault="00643EAA" w:rsidP="00F91A1E"/>
        </w:tc>
        <w:tc>
          <w:tcPr>
            <w:tcW w:w="1413" w:type="pct"/>
            <w:tcBorders>
              <w:bottom w:val="single" w:sz="4" w:space="0" w:color="auto"/>
            </w:tcBorders>
          </w:tcPr>
          <w:p w:rsidR="00643EAA" w:rsidRPr="00920E28" w:rsidRDefault="00643EAA" w:rsidP="00F91A1E"/>
        </w:tc>
      </w:tr>
      <w:tr w:rsidR="00643EAA" w:rsidRPr="00920E28" w:rsidTr="00F00949">
        <w:tc>
          <w:tcPr>
            <w:tcW w:w="647" w:type="pct"/>
            <w:tcBorders>
              <w:top w:val="single" w:sz="4" w:space="0" w:color="auto"/>
            </w:tcBorders>
          </w:tcPr>
          <w:p w:rsidR="00643EAA" w:rsidRPr="00920E28" w:rsidRDefault="00643EAA" w:rsidP="00F91A1E">
            <w:pPr>
              <w:rPr>
                <w:b/>
              </w:rPr>
            </w:pPr>
            <w:r w:rsidRPr="00920E28">
              <w:rPr>
                <w:b/>
              </w:rPr>
              <w:t>Expected Accomplishment</w:t>
            </w:r>
          </w:p>
        </w:tc>
        <w:tc>
          <w:tcPr>
            <w:tcW w:w="1453" w:type="pct"/>
            <w:tcBorders>
              <w:top w:val="single" w:sz="4" w:space="0" w:color="auto"/>
            </w:tcBorders>
          </w:tcPr>
          <w:p w:rsidR="00643EAA" w:rsidRPr="00F91A1E" w:rsidRDefault="007A576E" w:rsidP="00F91A1E">
            <w:pPr>
              <w:rPr>
                <w:rFonts w:eastAsia="SimSun"/>
                <w:color w:val="000000"/>
              </w:rPr>
            </w:pPr>
            <w:r w:rsidRPr="001D3A90">
              <w:t>Improved capacity of partner cities to adopt strategies supportive of inclusive economic</w:t>
            </w:r>
            <w:r w:rsidRPr="001D3A90">
              <w:rPr>
                <w:rFonts w:hint="eastAsia"/>
              </w:rPr>
              <w:t xml:space="preserve"> </w:t>
            </w:r>
            <w:r w:rsidRPr="001D3A90">
              <w:t>growth</w:t>
            </w:r>
          </w:p>
          <w:p w:rsidR="00643EAA" w:rsidRPr="00920E28" w:rsidRDefault="00643EAA" w:rsidP="00F91A1E">
            <w:pPr>
              <w:rPr>
                <w:rFonts w:eastAsia="SimSun"/>
                <w:color w:val="000000"/>
              </w:rPr>
            </w:pPr>
          </w:p>
        </w:tc>
        <w:tc>
          <w:tcPr>
            <w:tcW w:w="1487" w:type="pct"/>
            <w:tcBorders>
              <w:top w:val="single" w:sz="4" w:space="0" w:color="auto"/>
            </w:tcBorders>
          </w:tcPr>
          <w:p w:rsidR="00643EAA" w:rsidRPr="00F91A1E" w:rsidRDefault="007A576E" w:rsidP="00F00949">
            <w:pPr>
              <w:rPr>
                <w:rFonts w:eastAsia="SimSun"/>
                <w:color w:val="000000"/>
              </w:rPr>
            </w:pPr>
            <w:r w:rsidRPr="001D3A90">
              <w:t>Improved capacity of targeted cities to adopt urban policies and programs supportive of increased employment</w:t>
            </w:r>
            <w:r>
              <w:t>,</w:t>
            </w:r>
            <w:r w:rsidRPr="001D3A90">
              <w:t xml:space="preserve"> livelihoods and opportunities and with focus on urban youth  and women</w:t>
            </w:r>
          </w:p>
        </w:tc>
        <w:tc>
          <w:tcPr>
            <w:tcW w:w="1413" w:type="pct"/>
            <w:tcBorders>
              <w:top w:val="single" w:sz="4" w:space="0" w:color="auto"/>
            </w:tcBorders>
          </w:tcPr>
          <w:p w:rsidR="00643EAA" w:rsidRPr="00F91A1E" w:rsidRDefault="007A576E" w:rsidP="00F91A1E">
            <w:pPr>
              <w:rPr>
                <w:rFonts w:eastAsia="SimSun"/>
                <w:color w:val="000000"/>
              </w:rPr>
            </w:pPr>
            <w:r w:rsidRPr="001D3A90">
              <w:t>Improved capacity of partner cities to adopt policies, plans and strategies for improved urban and municipal finance</w:t>
            </w:r>
          </w:p>
        </w:tc>
      </w:tr>
      <w:tr w:rsidR="00643EAA" w:rsidRPr="00920E28" w:rsidTr="00F00949">
        <w:tc>
          <w:tcPr>
            <w:tcW w:w="647" w:type="pct"/>
            <w:tcBorders>
              <w:bottom w:val="single" w:sz="4" w:space="0" w:color="auto"/>
            </w:tcBorders>
          </w:tcPr>
          <w:p w:rsidR="00643EAA" w:rsidRPr="00920E28" w:rsidRDefault="00643EAA" w:rsidP="00F91A1E">
            <w:pPr>
              <w:rPr>
                <w:b/>
              </w:rPr>
            </w:pPr>
          </w:p>
        </w:tc>
        <w:tc>
          <w:tcPr>
            <w:tcW w:w="1453" w:type="pct"/>
            <w:tcBorders>
              <w:bottom w:val="single" w:sz="4" w:space="0" w:color="auto"/>
            </w:tcBorders>
          </w:tcPr>
          <w:p w:rsidR="00643EAA" w:rsidRPr="00920E28" w:rsidRDefault="00643EAA" w:rsidP="00F91A1E">
            <w:pPr>
              <w:rPr>
                <w:rFonts w:eastAsia="SimSun"/>
              </w:rPr>
            </w:pPr>
          </w:p>
        </w:tc>
        <w:tc>
          <w:tcPr>
            <w:tcW w:w="1487" w:type="pct"/>
            <w:tcBorders>
              <w:bottom w:val="single" w:sz="4" w:space="0" w:color="auto"/>
            </w:tcBorders>
          </w:tcPr>
          <w:p w:rsidR="00643EAA" w:rsidRPr="00920E28" w:rsidRDefault="00643EAA" w:rsidP="00F91A1E">
            <w:pPr>
              <w:rPr>
                <w:rFonts w:eastAsia="SimSun"/>
              </w:rPr>
            </w:pPr>
          </w:p>
        </w:tc>
        <w:tc>
          <w:tcPr>
            <w:tcW w:w="1413" w:type="pct"/>
            <w:tcBorders>
              <w:bottom w:val="single" w:sz="4" w:space="0" w:color="auto"/>
            </w:tcBorders>
          </w:tcPr>
          <w:p w:rsidR="00643EAA" w:rsidRPr="00920E28" w:rsidRDefault="00643EAA" w:rsidP="00F91A1E">
            <w:pPr>
              <w:tabs>
                <w:tab w:val="left" w:pos="185"/>
              </w:tabs>
              <w:suppressAutoHyphens/>
              <w:spacing w:after="120" w:line="240" w:lineRule="exact"/>
              <w:ind w:right="43"/>
              <w:rPr>
                <w:rFonts w:eastAsia="SimSun"/>
              </w:rPr>
            </w:pPr>
          </w:p>
        </w:tc>
      </w:tr>
      <w:tr w:rsidR="00643EAA" w:rsidRPr="00920E28" w:rsidTr="00F00949">
        <w:trPr>
          <w:trHeight w:val="1016"/>
        </w:trPr>
        <w:tc>
          <w:tcPr>
            <w:tcW w:w="647" w:type="pct"/>
            <w:tcBorders>
              <w:top w:val="single" w:sz="4" w:space="0" w:color="auto"/>
            </w:tcBorders>
          </w:tcPr>
          <w:p w:rsidR="00643EAA" w:rsidRPr="00920E28" w:rsidRDefault="00643EAA" w:rsidP="00F91A1E">
            <w:pPr>
              <w:rPr>
                <w:u w:val="single"/>
              </w:rPr>
            </w:pPr>
            <w:r w:rsidRPr="00920E28">
              <w:rPr>
                <w:u w:val="single"/>
              </w:rPr>
              <w:t>Indicator</w:t>
            </w:r>
          </w:p>
        </w:tc>
        <w:tc>
          <w:tcPr>
            <w:tcW w:w="1453" w:type="pct"/>
            <w:tcBorders>
              <w:top w:val="single" w:sz="4" w:space="0" w:color="auto"/>
            </w:tcBorders>
          </w:tcPr>
          <w:p w:rsidR="00643EAA" w:rsidRPr="00F91A1E" w:rsidRDefault="007A576E" w:rsidP="00F91A1E">
            <w:pPr>
              <w:rPr>
                <w:rFonts w:eastAsia="SimSun"/>
                <w:color w:val="000000"/>
              </w:rPr>
            </w:pPr>
            <w:r w:rsidRPr="001D3A90">
              <w:t>Number of partner cities that prepared local economic development plans</w:t>
            </w:r>
          </w:p>
          <w:p w:rsidR="00643EAA" w:rsidRPr="00920E28" w:rsidRDefault="00643EAA" w:rsidP="00F91A1E">
            <w:pPr>
              <w:pStyle w:val="ListParagraph"/>
              <w:ind w:left="360"/>
              <w:rPr>
                <w:rFonts w:eastAsia="SimSun"/>
                <w:color w:val="000000"/>
              </w:rPr>
            </w:pPr>
          </w:p>
          <w:p w:rsidR="00643EAA" w:rsidRPr="00F91A1E" w:rsidRDefault="007A576E" w:rsidP="00F91A1E">
            <w:pPr>
              <w:rPr>
                <w:rFonts w:eastAsia="SimSun"/>
                <w:color w:val="000000"/>
              </w:rPr>
            </w:pPr>
            <w:r w:rsidRPr="001D3A90">
              <w:t>Number of partner cities that set priorities based on local economic assessment</w:t>
            </w:r>
          </w:p>
        </w:tc>
        <w:tc>
          <w:tcPr>
            <w:tcW w:w="1487" w:type="pct"/>
            <w:tcBorders>
              <w:top w:val="single" w:sz="4" w:space="0" w:color="auto"/>
            </w:tcBorders>
          </w:tcPr>
          <w:p w:rsidR="00643EAA" w:rsidRPr="00F91A1E" w:rsidRDefault="007A576E" w:rsidP="00F00949">
            <w:pPr>
              <w:rPr>
                <w:rFonts w:eastAsia="SimSun"/>
                <w:color w:val="000000"/>
              </w:rPr>
            </w:pPr>
            <w:r w:rsidRPr="001D3A90">
              <w:t>Number  of partner cities that have adopted programs supportive of increased employment opportunities and livelihoods with focus on urban youth and women</w:t>
            </w:r>
          </w:p>
        </w:tc>
        <w:tc>
          <w:tcPr>
            <w:tcW w:w="1413" w:type="pct"/>
            <w:tcBorders>
              <w:top w:val="single" w:sz="4" w:space="0" w:color="auto"/>
            </w:tcBorders>
          </w:tcPr>
          <w:p w:rsidR="00643EAA" w:rsidRPr="00F91A1E" w:rsidRDefault="007A576E" w:rsidP="00F91A1E">
            <w:pPr>
              <w:rPr>
                <w:rFonts w:eastAsia="SimSun"/>
                <w:color w:val="000000"/>
              </w:rPr>
            </w:pPr>
            <w:r w:rsidRPr="001D3A90">
              <w:t>Number of partner cities that have adopted programs and strategies for improved urban and municipal finance</w:t>
            </w:r>
            <w:r w:rsidR="00643EAA" w:rsidRPr="00F91A1E">
              <w:rPr>
                <w:rFonts w:eastAsia="SimSun"/>
                <w:color w:val="000000"/>
              </w:rPr>
              <w:t xml:space="preserve"> </w:t>
            </w:r>
          </w:p>
          <w:p w:rsidR="00643EAA" w:rsidRPr="00920E28" w:rsidRDefault="00643EAA" w:rsidP="00F91A1E">
            <w:pPr>
              <w:pStyle w:val="ListParagraph"/>
              <w:ind w:left="360"/>
              <w:rPr>
                <w:rFonts w:eastAsia="SimSun"/>
                <w:color w:val="000000"/>
              </w:rPr>
            </w:pPr>
          </w:p>
        </w:tc>
      </w:tr>
      <w:tr w:rsidR="00643EAA" w:rsidRPr="00920E28" w:rsidTr="00F00949">
        <w:trPr>
          <w:trHeight w:val="98"/>
        </w:trPr>
        <w:tc>
          <w:tcPr>
            <w:tcW w:w="647" w:type="pct"/>
            <w:tcBorders>
              <w:bottom w:val="single" w:sz="4" w:space="0" w:color="auto"/>
            </w:tcBorders>
          </w:tcPr>
          <w:p w:rsidR="00643EAA" w:rsidRPr="00920E28" w:rsidRDefault="00643EAA" w:rsidP="00F91A1E">
            <w:pPr>
              <w:rPr>
                <w:u w:val="single"/>
              </w:rPr>
            </w:pPr>
          </w:p>
        </w:tc>
        <w:tc>
          <w:tcPr>
            <w:tcW w:w="1453" w:type="pct"/>
            <w:tcBorders>
              <w:bottom w:val="single" w:sz="4" w:space="0" w:color="auto"/>
            </w:tcBorders>
          </w:tcPr>
          <w:p w:rsidR="00643EAA" w:rsidRPr="00920E28" w:rsidRDefault="00643EAA" w:rsidP="00F91A1E">
            <w:pPr>
              <w:tabs>
                <w:tab w:val="left" w:pos="185"/>
              </w:tabs>
              <w:suppressAutoHyphens/>
              <w:spacing w:after="120" w:line="240" w:lineRule="exact"/>
              <w:ind w:right="43"/>
            </w:pPr>
          </w:p>
        </w:tc>
        <w:tc>
          <w:tcPr>
            <w:tcW w:w="1487" w:type="pct"/>
            <w:tcBorders>
              <w:bottom w:val="single" w:sz="4" w:space="0" w:color="auto"/>
            </w:tcBorders>
          </w:tcPr>
          <w:p w:rsidR="00643EAA" w:rsidRPr="00920E28" w:rsidRDefault="00643EAA" w:rsidP="00F91A1E">
            <w:pPr>
              <w:tabs>
                <w:tab w:val="left" w:pos="185"/>
              </w:tabs>
              <w:suppressAutoHyphens/>
              <w:spacing w:after="120" w:line="240" w:lineRule="exact"/>
              <w:ind w:right="43"/>
            </w:pPr>
          </w:p>
        </w:tc>
        <w:tc>
          <w:tcPr>
            <w:tcW w:w="1413" w:type="pct"/>
            <w:tcBorders>
              <w:bottom w:val="single" w:sz="4" w:space="0" w:color="auto"/>
            </w:tcBorders>
          </w:tcPr>
          <w:p w:rsidR="00643EAA" w:rsidRPr="00920E28" w:rsidRDefault="00643EAA" w:rsidP="00F91A1E">
            <w:pPr>
              <w:tabs>
                <w:tab w:val="left" w:pos="185"/>
              </w:tabs>
              <w:suppressAutoHyphens/>
              <w:spacing w:after="120" w:line="240" w:lineRule="exact"/>
              <w:ind w:right="43"/>
            </w:pPr>
          </w:p>
        </w:tc>
      </w:tr>
      <w:tr w:rsidR="00643EAA" w:rsidRPr="00920E28" w:rsidTr="00F00949">
        <w:tc>
          <w:tcPr>
            <w:tcW w:w="647" w:type="pct"/>
            <w:tcBorders>
              <w:top w:val="single" w:sz="4" w:space="0" w:color="auto"/>
              <w:bottom w:val="single" w:sz="4" w:space="0" w:color="auto"/>
            </w:tcBorders>
          </w:tcPr>
          <w:p w:rsidR="00643EAA" w:rsidRPr="00920E28" w:rsidRDefault="00643EAA" w:rsidP="00F91A1E">
            <w:pPr>
              <w:rPr>
                <w:b/>
              </w:rPr>
            </w:pPr>
            <w:r w:rsidRPr="00920E28">
              <w:rPr>
                <w:b/>
              </w:rPr>
              <w:t>Sub Expected Accomplishment</w:t>
            </w:r>
          </w:p>
        </w:tc>
        <w:tc>
          <w:tcPr>
            <w:tcW w:w="1453" w:type="pct"/>
            <w:tcBorders>
              <w:top w:val="single" w:sz="4" w:space="0" w:color="auto"/>
              <w:bottom w:val="single" w:sz="4" w:space="0" w:color="auto"/>
            </w:tcBorders>
          </w:tcPr>
          <w:p w:rsidR="00643EAA" w:rsidRPr="00920E28" w:rsidRDefault="00643EAA" w:rsidP="00F91A1E">
            <w:r w:rsidRPr="00920E28">
              <w:t>D</w:t>
            </w:r>
            <w:r>
              <w:t>eveloped</w:t>
            </w:r>
            <w:r w:rsidRPr="00920E28">
              <w:t xml:space="preserve"> strategic partnerships for local economic </w:t>
            </w:r>
            <w:r>
              <w:t>development</w:t>
            </w:r>
          </w:p>
          <w:p w:rsidR="00F91A1E" w:rsidRDefault="00F91A1E" w:rsidP="00F91A1E">
            <w:pPr>
              <w:pStyle w:val="ListParagraph"/>
              <w:ind w:left="449"/>
            </w:pPr>
          </w:p>
          <w:p w:rsidR="00643EAA" w:rsidRPr="00920E28" w:rsidRDefault="00643EAA" w:rsidP="00F91A1E">
            <w:r w:rsidRPr="00920E28">
              <w:t>I</w:t>
            </w:r>
            <w:r>
              <w:t xml:space="preserve">mproved knowledge of partners about their local economy </w:t>
            </w:r>
          </w:p>
        </w:tc>
        <w:tc>
          <w:tcPr>
            <w:tcW w:w="1487" w:type="pct"/>
            <w:tcBorders>
              <w:top w:val="single" w:sz="4" w:space="0" w:color="auto"/>
              <w:bottom w:val="single" w:sz="4" w:space="0" w:color="auto"/>
            </w:tcBorders>
          </w:tcPr>
          <w:p w:rsidR="00643EAA" w:rsidRPr="00920E28" w:rsidRDefault="00643EAA" w:rsidP="00F91A1E">
            <w:r w:rsidRPr="00920E28">
              <w:t>Multi-</w:t>
            </w:r>
            <w:proofErr w:type="spellStart"/>
            <w:r w:rsidRPr="00920E28">
              <w:t>sectoral</w:t>
            </w:r>
            <w:proofErr w:type="spellEnd"/>
            <w:r w:rsidRPr="00920E28">
              <w:t xml:space="preserve"> partnerships</w:t>
            </w:r>
            <w:r>
              <w:t xml:space="preserve"> that promote youth livelihood issues are formed </w:t>
            </w:r>
          </w:p>
          <w:p w:rsidR="00F91A1E" w:rsidRDefault="00F91A1E" w:rsidP="00F91A1E">
            <w:pPr>
              <w:pStyle w:val="ListParagraph"/>
              <w:ind w:left="449"/>
            </w:pPr>
          </w:p>
          <w:p w:rsidR="00643EAA" w:rsidRPr="002C4095" w:rsidRDefault="00643EAA" w:rsidP="00F91A1E">
            <w:r w:rsidRPr="002C4095">
              <w:t xml:space="preserve">Partners </w:t>
            </w:r>
            <w:r>
              <w:t xml:space="preserve">adopted </w:t>
            </w:r>
            <w:r w:rsidRPr="002C4095">
              <w:t>evidence-based good practices</w:t>
            </w:r>
          </w:p>
          <w:p w:rsidR="00643EAA" w:rsidRPr="00920E28" w:rsidRDefault="00643EAA" w:rsidP="00F91A1E"/>
        </w:tc>
        <w:tc>
          <w:tcPr>
            <w:tcW w:w="1413" w:type="pct"/>
            <w:tcBorders>
              <w:top w:val="single" w:sz="4" w:space="0" w:color="auto"/>
              <w:bottom w:val="single" w:sz="4" w:space="0" w:color="auto"/>
            </w:tcBorders>
          </w:tcPr>
          <w:p w:rsidR="00643EAA" w:rsidRDefault="00643EAA" w:rsidP="00F91A1E">
            <w:r>
              <w:t>Partner cities identified strategies to improve their financial performance</w:t>
            </w:r>
          </w:p>
          <w:p w:rsidR="00F91A1E" w:rsidRDefault="00F91A1E" w:rsidP="00F91A1E">
            <w:pPr>
              <w:pStyle w:val="ListParagraph"/>
              <w:ind w:left="449"/>
            </w:pPr>
          </w:p>
          <w:p w:rsidR="00643EAA" w:rsidRPr="00920E28" w:rsidRDefault="00643EAA" w:rsidP="00F91A1E">
            <w:r>
              <w:t xml:space="preserve">Increased partnerships for urban and municipal financing </w:t>
            </w:r>
          </w:p>
        </w:tc>
      </w:tr>
      <w:tr w:rsidR="00643EAA" w:rsidRPr="00920E28" w:rsidTr="00F00949">
        <w:tc>
          <w:tcPr>
            <w:tcW w:w="647" w:type="pct"/>
            <w:tcBorders>
              <w:top w:val="single" w:sz="4" w:space="0" w:color="auto"/>
              <w:bottom w:val="single" w:sz="4" w:space="0" w:color="auto"/>
            </w:tcBorders>
          </w:tcPr>
          <w:p w:rsidR="00643EAA" w:rsidRPr="00920E28" w:rsidRDefault="00643EAA" w:rsidP="00F91A1E">
            <w:pPr>
              <w:rPr>
                <w:u w:val="single"/>
              </w:rPr>
            </w:pPr>
            <w:r w:rsidRPr="00920E28">
              <w:rPr>
                <w:u w:val="single"/>
              </w:rPr>
              <w:t xml:space="preserve">Indicator </w:t>
            </w:r>
          </w:p>
        </w:tc>
        <w:tc>
          <w:tcPr>
            <w:tcW w:w="1453" w:type="pct"/>
            <w:tcBorders>
              <w:top w:val="single" w:sz="4" w:space="0" w:color="auto"/>
              <w:bottom w:val="single" w:sz="4" w:space="0" w:color="auto"/>
            </w:tcBorders>
          </w:tcPr>
          <w:p w:rsidR="00643EAA" w:rsidRPr="00920E28" w:rsidRDefault="00643EAA" w:rsidP="00F91A1E">
            <w:r w:rsidRPr="00F91A1E">
              <w:rPr>
                <w:rFonts w:eastAsia="SimSun"/>
                <w:color w:val="000000"/>
              </w:rPr>
              <w:t>Number of partner cities that have established strategic partnerships for local economic growth</w:t>
            </w:r>
          </w:p>
          <w:p w:rsidR="00F91A1E" w:rsidRDefault="00F91A1E" w:rsidP="00F91A1E">
            <w:pPr>
              <w:pStyle w:val="ListParagraph"/>
              <w:ind w:left="490"/>
            </w:pPr>
          </w:p>
          <w:p w:rsidR="00643EAA" w:rsidRDefault="00643EAA" w:rsidP="00F91A1E">
            <w:r w:rsidRPr="00920E28">
              <w:t xml:space="preserve">Number of </w:t>
            </w:r>
            <w:r>
              <w:t xml:space="preserve">partner cities that have collected data and information on local economy trends, potential and challenges </w:t>
            </w:r>
          </w:p>
        </w:tc>
        <w:tc>
          <w:tcPr>
            <w:tcW w:w="1487" w:type="pct"/>
            <w:tcBorders>
              <w:top w:val="single" w:sz="4" w:space="0" w:color="auto"/>
              <w:bottom w:val="single" w:sz="4" w:space="0" w:color="auto"/>
            </w:tcBorders>
          </w:tcPr>
          <w:p w:rsidR="00643EAA" w:rsidRDefault="00643EAA" w:rsidP="00F91A1E">
            <w:r>
              <w:t>Number of multi-</w:t>
            </w:r>
            <w:proofErr w:type="spellStart"/>
            <w:r>
              <w:t>sectoral</w:t>
            </w:r>
            <w:proofErr w:type="spellEnd"/>
            <w:r>
              <w:t xml:space="preserve"> partnerships that work on youth livelihood issues</w:t>
            </w:r>
          </w:p>
          <w:p w:rsidR="00F91A1E" w:rsidRDefault="00F91A1E" w:rsidP="00F91A1E"/>
          <w:p w:rsidR="00643EAA" w:rsidRDefault="00643EAA" w:rsidP="00F91A1E">
            <w:r>
              <w:t>Number</w:t>
            </w:r>
            <w:r w:rsidRPr="00920E28">
              <w:t xml:space="preserve"> of</w:t>
            </w:r>
            <w:r>
              <w:t xml:space="preserve"> references made to good practices in policy and program documents and fora</w:t>
            </w:r>
          </w:p>
          <w:p w:rsidR="00F91A1E" w:rsidRDefault="00F91A1E" w:rsidP="00F91A1E"/>
          <w:p w:rsidR="00643EAA" w:rsidRPr="00E1041B" w:rsidRDefault="00643EAA" w:rsidP="00F91A1E">
            <w:r>
              <w:t>Number of references made to good practices in research literature</w:t>
            </w:r>
          </w:p>
        </w:tc>
        <w:tc>
          <w:tcPr>
            <w:tcW w:w="1413" w:type="pct"/>
            <w:tcBorders>
              <w:top w:val="single" w:sz="4" w:space="0" w:color="auto"/>
              <w:bottom w:val="single" w:sz="4" w:space="0" w:color="auto"/>
            </w:tcBorders>
          </w:tcPr>
          <w:p w:rsidR="00643EAA" w:rsidRPr="005A3038" w:rsidRDefault="00643EAA" w:rsidP="00F91A1E">
            <w:r>
              <w:t>Number of m</w:t>
            </w:r>
            <w:r w:rsidRPr="00121435">
              <w:t xml:space="preserve">unicipalities </w:t>
            </w:r>
            <w:r>
              <w:t>that develop strategies for improving operational efficiency</w:t>
            </w:r>
          </w:p>
          <w:p w:rsidR="00F91A1E" w:rsidRDefault="00F91A1E" w:rsidP="00F91A1E"/>
          <w:p w:rsidR="00643EAA" w:rsidRPr="00920E28" w:rsidRDefault="00643EAA" w:rsidP="00F91A1E">
            <w:r>
              <w:t>Number of partnership agreements for urban and municipal financing</w:t>
            </w:r>
          </w:p>
        </w:tc>
      </w:tr>
    </w:tbl>
    <w:p w:rsidR="00643EAA" w:rsidRPr="00953003" w:rsidRDefault="00643EAA" w:rsidP="00643EAA">
      <w:pPr>
        <w:rPr>
          <w:b/>
          <w:sz w:val="32"/>
        </w:rPr>
      </w:pPr>
      <w:r>
        <w:br w:type="page"/>
      </w:r>
      <w:r w:rsidRPr="00953003">
        <w:rPr>
          <w:b/>
          <w:sz w:val="32"/>
        </w:rPr>
        <w:lastRenderedPageBreak/>
        <w:t>Focus Area 4: Urban Basic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643EAA" w:rsidRPr="00A63968" w:rsidTr="00F91A1E">
        <w:tc>
          <w:tcPr>
            <w:tcW w:w="667" w:type="pct"/>
            <w:tcBorders>
              <w:top w:val="single" w:sz="4" w:space="0" w:color="auto"/>
              <w:bottom w:val="single" w:sz="4" w:space="0" w:color="auto"/>
            </w:tcBorders>
          </w:tcPr>
          <w:p w:rsidR="00643EAA" w:rsidRPr="00A63968" w:rsidRDefault="00643EAA" w:rsidP="00F91A1E">
            <w:pPr>
              <w:rPr>
                <w:rFonts w:ascii="Calibri" w:hAnsi="Calibri"/>
                <w:b/>
              </w:rPr>
            </w:pPr>
            <w:r w:rsidRPr="00A63968">
              <w:rPr>
                <w:rFonts w:ascii="Calibri" w:hAnsi="Calibri"/>
                <w:b/>
              </w:rPr>
              <w:t>Strategic Result</w:t>
            </w:r>
          </w:p>
        </w:tc>
        <w:tc>
          <w:tcPr>
            <w:tcW w:w="4333" w:type="pct"/>
            <w:gridSpan w:val="3"/>
            <w:tcBorders>
              <w:top w:val="single" w:sz="4" w:space="0" w:color="auto"/>
              <w:bottom w:val="single" w:sz="4" w:space="0" w:color="auto"/>
            </w:tcBorders>
          </w:tcPr>
          <w:p w:rsidR="00643EAA" w:rsidRDefault="00A63968" w:rsidP="00F91A1E">
            <w:pPr>
              <w:ind w:right="857"/>
              <w:rPr>
                <w:rFonts w:ascii="Calibri" w:hAnsi="Calibri"/>
              </w:rPr>
            </w:pPr>
            <w:r w:rsidRPr="00A63968">
              <w:rPr>
                <w:rFonts w:ascii="Calibri" w:hAnsi="Calibri"/>
              </w:rPr>
              <w:t>City, regional and national authorities have implemented policies for increasing equitable access to urban basic services and improving the standard of living of the urban poor.</w:t>
            </w:r>
          </w:p>
          <w:p w:rsidR="00FE1EAF" w:rsidRPr="00A63968" w:rsidRDefault="00FE1EAF" w:rsidP="00F91A1E">
            <w:pPr>
              <w:ind w:right="857"/>
              <w:rPr>
                <w:rFonts w:ascii="Calibri" w:eastAsia="SimSun" w:hAnsi="Calibri"/>
                <w:color w:val="000000"/>
              </w:rPr>
            </w:pPr>
          </w:p>
        </w:tc>
      </w:tr>
      <w:tr w:rsidR="00643EAA" w:rsidRPr="00A63968" w:rsidTr="00F91A1E">
        <w:tc>
          <w:tcPr>
            <w:tcW w:w="667" w:type="pct"/>
            <w:tcBorders>
              <w:top w:val="single" w:sz="4" w:space="0" w:color="auto"/>
              <w:bottom w:val="single" w:sz="4" w:space="0" w:color="auto"/>
            </w:tcBorders>
          </w:tcPr>
          <w:p w:rsidR="00643EAA" w:rsidRPr="00A63968" w:rsidRDefault="00643EAA" w:rsidP="00F91A1E">
            <w:pPr>
              <w:rPr>
                <w:rFonts w:ascii="Calibri" w:hAnsi="Calibri"/>
                <w:u w:val="single"/>
              </w:rPr>
            </w:pPr>
            <w:r w:rsidRPr="00A63968">
              <w:rPr>
                <w:rFonts w:ascii="Calibri" w:hAnsi="Calibri"/>
                <w:u w:val="single"/>
              </w:rPr>
              <w:t>Indicator</w:t>
            </w:r>
          </w:p>
        </w:tc>
        <w:tc>
          <w:tcPr>
            <w:tcW w:w="4333" w:type="pct"/>
            <w:gridSpan w:val="3"/>
            <w:tcBorders>
              <w:top w:val="single" w:sz="4" w:space="0" w:color="auto"/>
              <w:bottom w:val="single" w:sz="4" w:space="0" w:color="auto"/>
            </w:tcBorders>
          </w:tcPr>
          <w:p w:rsidR="00643EAA" w:rsidRDefault="00643EAA" w:rsidP="00F91A1E">
            <w:pPr>
              <w:rPr>
                <w:rFonts w:ascii="Calibri" w:eastAsia="SimSun" w:hAnsi="Calibri"/>
                <w:color w:val="000000"/>
              </w:rPr>
            </w:pPr>
            <w:r w:rsidRPr="00A63968">
              <w:rPr>
                <w:rFonts w:ascii="Calibri" w:eastAsia="SimSun" w:hAnsi="Calibri"/>
                <w:color w:val="000000"/>
              </w:rPr>
              <w:t xml:space="preserve">Number of partner city, regional and national authorities that have implemented policies for increasing equitable access to basic services including the promotion of the guidelines on decentralisation and strengthening of local authorities and on access to basic services for all. </w:t>
            </w:r>
          </w:p>
          <w:p w:rsidR="00FE1EAF" w:rsidRPr="00A63968" w:rsidRDefault="00FE1EAF" w:rsidP="00F91A1E">
            <w:pPr>
              <w:rPr>
                <w:rFonts w:ascii="Calibri" w:eastAsia="SimSun" w:hAnsi="Calibri"/>
                <w:color w:val="000000"/>
              </w:rPr>
            </w:pPr>
          </w:p>
        </w:tc>
      </w:tr>
      <w:tr w:rsidR="00643EAA" w:rsidRPr="00A63968" w:rsidTr="00F91A1E">
        <w:tc>
          <w:tcPr>
            <w:tcW w:w="667" w:type="pct"/>
            <w:tcBorders>
              <w:top w:val="single" w:sz="4" w:space="0" w:color="auto"/>
            </w:tcBorders>
          </w:tcPr>
          <w:p w:rsidR="00643EAA" w:rsidRPr="00A63968" w:rsidRDefault="00643EAA" w:rsidP="00F91A1E">
            <w:pPr>
              <w:rPr>
                <w:rFonts w:ascii="Calibri" w:hAnsi="Calibri"/>
                <w:b/>
              </w:rPr>
            </w:pPr>
            <w:r w:rsidRPr="00A63968">
              <w:rPr>
                <w:rFonts w:ascii="Calibri" w:hAnsi="Calibri"/>
                <w:b/>
              </w:rPr>
              <w:t>Expected Accomplishment</w:t>
            </w:r>
          </w:p>
        </w:tc>
        <w:tc>
          <w:tcPr>
            <w:tcW w:w="1446" w:type="pct"/>
            <w:tcBorders>
              <w:top w:val="single" w:sz="4" w:space="0" w:color="auto"/>
            </w:tcBorders>
          </w:tcPr>
          <w:p w:rsidR="00643EAA" w:rsidRPr="00A63968" w:rsidRDefault="007A576E" w:rsidP="00F91A1E">
            <w:pPr>
              <w:rPr>
                <w:rFonts w:ascii="Calibri" w:eastAsia="SimSun" w:hAnsi="Calibri"/>
              </w:rPr>
            </w:pPr>
            <w:r w:rsidRPr="00F32DC7">
              <w:t>I</w:t>
            </w:r>
            <w:r>
              <w:t xml:space="preserve">mproved policies and guidelines on </w:t>
            </w:r>
            <w:r w:rsidRPr="00F32DC7">
              <w:t xml:space="preserve">equitable access to sustainable urban basic services </w:t>
            </w:r>
            <w:r>
              <w:t xml:space="preserve">implemented by </w:t>
            </w:r>
            <w:r w:rsidRPr="00F32DC7">
              <w:t>local, regional and national authorities</w:t>
            </w:r>
          </w:p>
        </w:tc>
        <w:tc>
          <w:tcPr>
            <w:tcW w:w="1479" w:type="pct"/>
            <w:tcBorders>
              <w:top w:val="single" w:sz="4" w:space="0" w:color="auto"/>
            </w:tcBorders>
          </w:tcPr>
          <w:p w:rsidR="00643EAA" w:rsidRPr="00A63968" w:rsidRDefault="007A576E" w:rsidP="00F91A1E">
            <w:pPr>
              <w:rPr>
                <w:rFonts w:ascii="Calibri" w:eastAsia="SimSun" w:hAnsi="Calibri"/>
              </w:rPr>
            </w:pPr>
            <w:r w:rsidRPr="00F32DC7">
              <w:t xml:space="preserve">Increased flow of investments into urban basic services </w:t>
            </w:r>
            <w:proofErr w:type="spellStart"/>
            <w:r w:rsidRPr="00F32DC7">
              <w:t>catalysed</w:t>
            </w:r>
            <w:proofErr w:type="spellEnd"/>
            <w:r w:rsidRPr="00F32DC7">
              <w:t xml:space="preserve"> by UN-Habitat </w:t>
            </w:r>
            <w:proofErr w:type="spellStart"/>
            <w:r w:rsidRPr="00F32DC7">
              <w:t>programmes</w:t>
            </w:r>
            <w:proofErr w:type="spellEnd"/>
            <w:r w:rsidRPr="00F32DC7">
              <w:t xml:space="preserve"> in partner countries</w:t>
            </w:r>
            <w:r>
              <w:t xml:space="preserve"> with a focus on the urban poor</w:t>
            </w:r>
          </w:p>
          <w:p w:rsidR="00643EAA" w:rsidRPr="00A63968" w:rsidRDefault="00643EAA" w:rsidP="00F91A1E">
            <w:pPr>
              <w:rPr>
                <w:rFonts w:ascii="Calibri" w:eastAsia="SimSun" w:hAnsi="Calibri"/>
              </w:rPr>
            </w:pPr>
          </w:p>
        </w:tc>
        <w:tc>
          <w:tcPr>
            <w:tcW w:w="1408" w:type="pct"/>
            <w:tcBorders>
              <w:top w:val="single" w:sz="4" w:space="0" w:color="auto"/>
            </w:tcBorders>
          </w:tcPr>
          <w:p w:rsidR="00643EAA" w:rsidRPr="00A63968" w:rsidRDefault="007A576E" w:rsidP="00F91A1E">
            <w:pPr>
              <w:tabs>
                <w:tab w:val="left" w:pos="185"/>
              </w:tabs>
              <w:suppressAutoHyphens/>
              <w:spacing w:after="120" w:line="240" w:lineRule="exact"/>
              <w:ind w:right="43"/>
              <w:rPr>
                <w:rFonts w:ascii="Calibri" w:eastAsia="SimSun" w:hAnsi="Calibri"/>
              </w:rPr>
            </w:pPr>
            <w:r w:rsidRPr="00F32DC7">
              <w:t xml:space="preserve">Increase in </w:t>
            </w:r>
            <w:r>
              <w:t xml:space="preserve">the </w:t>
            </w:r>
            <w:r w:rsidRPr="00F32DC7">
              <w:t>use of sustainable urban basic services in partner cities</w:t>
            </w:r>
          </w:p>
          <w:p w:rsidR="00643EAA" w:rsidRPr="00A63968" w:rsidRDefault="00643EAA" w:rsidP="00F91A1E">
            <w:pPr>
              <w:tabs>
                <w:tab w:val="left" w:pos="185"/>
              </w:tabs>
              <w:suppressAutoHyphens/>
              <w:spacing w:after="120" w:line="240" w:lineRule="exact"/>
              <w:ind w:right="43"/>
              <w:rPr>
                <w:rFonts w:ascii="Calibri" w:eastAsia="SimSun" w:hAnsi="Calibri"/>
              </w:rPr>
            </w:pPr>
          </w:p>
        </w:tc>
      </w:tr>
      <w:tr w:rsidR="00643EAA" w:rsidRPr="00A63968" w:rsidTr="00F91A1E">
        <w:trPr>
          <w:trHeight w:val="1016"/>
        </w:trPr>
        <w:tc>
          <w:tcPr>
            <w:tcW w:w="667" w:type="pct"/>
            <w:tcBorders>
              <w:top w:val="single" w:sz="4" w:space="0" w:color="auto"/>
            </w:tcBorders>
          </w:tcPr>
          <w:p w:rsidR="00643EAA" w:rsidRPr="00A63968" w:rsidRDefault="00643EAA" w:rsidP="00F91A1E">
            <w:pPr>
              <w:rPr>
                <w:rFonts w:ascii="Calibri" w:hAnsi="Calibri"/>
                <w:u w:val="single"/>
              </w:rPr>
            </w:pPr>
            <w:r w:rsidRPr="00A63968">
              <w:rPr>
                <w:rFonts w:ascii="Calibri" w:hAnsi="Calibri"/>
                <w:u w:val="single"/>
              </w:rPr>
              <w:t>Indicator</w:t>
            </w:r>
          </w:p>
        </w:tc>
        <w:tc>
          <w:tcPr>
            <w:tcW w:w="1446" w:type="pct"/>
            <w:tcBorders>
              <w:top w:val="single" w:sz="4" w:space="0" w:color="auto"/>
            </w:tcBorders>
          </w:tcPr>
          <w:p w:rsidR="00643EAA" w:rsidRPr="00A63968" w:rsidRDefault="00F00949" w:rsidP="00F91A1E">
            <w:pPr>
              <w:tabs>
                <w:tab w:val="left" w:pos="185"/>
              </w:tabs>
              <w:suppressAutoHyphens/>
              <w:spacing w:after="120" w:line="240" w:lineRule="exact"/>
              <w:ind w:right="43"/>
              <w:rPr>
                <w:rFonts w:ascii="Calibri" w:eastAsia="SimSun" w:hAnsi="Calibri"/>
              </w:rPr>
            </w:pPr>
            <w:r w:rsidRPr="00F32DC7">
              <w:rPr>
                <w:iCs/>
              </w:rPr>
              <w:t>Increased n</w:t>
            </w:r>
            <w:r w:rsidRPr="00F32DC7">
              <w:t xml:space="preserve">umber of </w:t>
            </w:r>
            <w:r>
              <w:t xml:space="preserve">partner </w:t>
            </w:r>
            <w:r w:rsidRPr="00F32DC7">
              <w:t xml:space="preserve">local, regional and national authorities implementing policies and </w:t>
            </w:r>
            <w:r>
              <w:t>International Guidelines on Decentralization and Access to Basic Services for All</w:t>
            </w:r>
          </w:p>
        </w:tc>
        <w:tc>
          <w:tcPr>
            <w:tcW w:w="1479" w:type="pct"/>
            <w:tcBorders>
              <w:top w:val="single" w:sz="4" w:space="0" w:color="auto"/>
            </w:tcBorders>
          </w:tcPr>
          <w:p w:rsidR="00643EAA" w:rsidRPr="00A63968" w:rsidRDefault="007A576E" w:rsidP="00F91A1E">
            <w:pPr>
              <w:tabs>
                <w:tab w:val="left" w:pos="185"/>
              </w:tabs>
              <w:suppressAutoHyphens/>
              <w:spacing w:after="120" w:line="240" w:lineRule="exact"/>
              <w:ind w:right="43"/>
              <w:rPr>
                <w:rFonts w:ascii="Calibri" w:eastAsia="SimSun" w:hAnsi="Calibri"/>
                <w:iCs/>
                <w:color w:val="000000"/>
              </w:rPr>
            </w:pPr>
            <w:r>
              <w:t>A</w:t>
            </w:r>
            <w:r w:rsidRPr="00F32DC7">
              <w:t xml:space="preserve">mount of investments into urban basic services </w:t>
            </w:r>
            <w:proofErr w:type="spellStart"/>
            <w:r>
              <w:t>catalysed</w:t>
            </w:r>
            <w:proofErr w:type="spellEnd"/>
            <w:r>
              <w:t xml:space="preserve"> by UN-Habitat programs in partner countries</w:t>
            </w:r>
            <w:r w:rsidR="00643EAA" w:rsidRPr="00A63968">
              <w:rPr>
                <w:rFonts w:ascii="Calibri" w:eastAsia="SimSun" w:hAnsi="Calibri"/>
                <w:iCs/>
                <w:color w:val="000000"/>
              </w:rPr>
              <w:t xml:space="preserve"> </w:t>
            </w:r>
          </w:p>
        </w:tc>
        <w:tc>
          <w:tcPr>
            <w:tcW w:w="1408" w:type="pct"/>
            <w:tcBorders>
              <w:top w:val="single" w:sz="4" w:space="0" w:color="auto"/>
            </w:tcBorders>
          </w:tcPr>
          <w:p w:rsidR="00F91A1E" w:rsidRPr="00A63968" w:rsidRDefault="007A576E" w:rsidP="00F91A1E">
            <w:pPr>
              <w:rPr>
                <w:rFonts w:ascii="Calibri" w:eastAsia="SimSun" w:hAnsi="Calibri"/>
              </w:rPr>
            </w:pPr>
            <w:r>
              <w:t>P</w:t>
            </w:r>
            <w:r w:rsidRPr="00F32DC7">
              <w:t xml:space="preserve">ercentage of consumers in partner cities with </w:t>
            </w:r>
            <w:r>
              <w:t>access to sustainable water and sanitation services</w:t>
            </w:r>
            <w:r w:rsidR="00643EAA" w:rsidRPr="00A63968">
              <w:rPr>
                <w:rFonts w:ascii="Calibri" w:eastAsia="SimSun" w:hAnsi="Calibri"/>
              </w:rPr>
              <w:t xml:space="preserve"> </w:t>
            </w:r>
          </w:p>
          <w:p w:rsidR="00F91A1E" w:rsidRPr="00A63968" w:rsidRDefault="00F91A1E" w:rsidP="00F91A1E">
            <w:pPr>
              <w:rPr>
                <w:rFonts w:ascii="Calibri" w:eastAsia="SimSun" w:hAnsi="Calibri"/>
              </w:rPr>
            </w:pPr>
          </w:p>
          <w:p w:rsidR="00643EAA" w:rsidRPr="00A63968" w:rsidRDefault="007A576E" w:rsidP="00F91A1E">
            <w:pPr>
              <w:rPr>
                <w:rFonts w:ascii="Calibri" w:eastAsia="SimSun" w:hAnsi="Calibri"/>
              </w:rPr>
            </w:pPr>
            <w:r>
              <w:t>P</w:t>
            </w:r>
            <w:r w:rsidRPr="00F32DC7">
              <w:t xml:space="preserve">ercentage of households in partner cities using </w:t>
            </w:r>
            <w:r>
              <w:t>sustainable energy supply</w:t>
            </w:r>
          </w:p>
          <w:p w:rsidR="00F91A1E" w:rsidRPr="00A63968" w:rsidRDefault="00F91A1E" w:rsidP="00F91A1E">
            <w:pPr>
              <w:rPr>
                <w:rFonts w:ascii="Calibri" w:eastAsia="SimSun" w:hAnsi="Calibri"/>
                <w:iCs/>
                <w:color w:val="000000"/>
              </w:rPr>
            </w:pPr>
          </w:p>
          <w:p w:rsidR="00643EAA" w:rsidRPr="00A63968" w:rsidRDefault="007A576E" w:rsidP="00F91A1E">
            <w:pPr>
              <w:rPr>
                <w:rFonts w:ascii="Calibri" w:eastAsia="SimSun" w:hAnsi="Calibri"/>
              </w:rPr>
            </w:pPr>
            <w:r>
              <w:t>P</w:t>
            </w:r>
            <w:r w:rsidRPr="00F32DC7">
              <w:t>ercentage of population in partner cities using sustainable modes of transport</w:t>
            </w:r>
          </w:p>
        </w:tc>
      </w:tr>
      <w:tr w:rsidR="00643EAA" w:rsidRPr="00A63968" w:rsidTr="00F91A1E">
        <w:tc>
          <w:tcPr>
            <w:tcW w:w="667" w:type="pct"/>
            <w:tcBorders>
              <w:bottom w:val="single" w:sz="4" w:space="0" w:color="auto"/>
            </w:tcBorders>
          </w:tcPr>
          <w:p w:rsidR="00643EAA" w:rsidRPr="00A63968" w:rsidRDefault="00643EAA" w:rsidP="00F91A1E">
            <w:pPr>
              <w:rPr>
                <w:rFonts w:ascii="Calibri" w:hAnsi="Calibri"/>
                <w:u w:val="single"/>
              </w:rPr>
            </w:pPr>
          </w:p>
        </w:tc>
        <w:tc>
          <w:tcPr>
            <w:tcW w:w="1446" w:type="pct"/>
            <w:tcBorders>
              <w:bottom w:val="single" w:sz="4" w:space="0" w:color="auto"/>
            </w:tcBorders>
          </w:tcPr>
          <w:p w:rsidR="00643EAA" w:rsidRPr="00A63968" w:rsidRDefault="00643EAA" w:rsidP="00F91A1E">
            <w:pPr>
              <w:tabs>
                <w:tab w:val="left" w:pos="185"/>
              </w:tabs>
              <w:suppressAutoHyphens/>
              <w:spacing w:after="120" w:line="240" w:lineRule="exact"/>
              <w:ind w:right="43"/>
              <w:rPr>
                <w:rFonts w:ascii="Calibri" w:hAnsi="Calibri"/>
              </w:rPr>
            </w:pPr>
          </w:p>
        </w:tc>
        <w:tc>
          <w:tcPr>
            <w:tcW w:w="1479" w:type="pct"/>
            <w:tcBorders>
              <w:bottom w:val="single" w:sz="4" w:space="0" w:color="auto"/>
            </w:tcBorders>
          </w:tcPr>
          <w:p w:rsidR="00643EAA" w:rsidRPr="00A63968" w:rsidRDefault="00643EAA" w:rsidP="00F91A1E">
            <w:pPr>
              <w:tabs>
                <w:tab w:val="left" w:pos="185"/>
              </w:tabs>
              <w:suppressAutoHyphens/>
              <w:spacing w:after="120" w:line="240" w:lineRule="exact"/>
              <w:ind w:right="43"/>
              <w:rPr>
                <w:rFonts w:ascii="Calibri" w:hAnsi="Calibri"/>
              </w:rPr>
            </w:pPr>
          </w:p>
        </w:tc>
        <w:tc>
          <w:tcPr>
            <w:tcW w:w="1408" w:type="pct"/>
            <w:tcBorders>
              <w:bottom w:val="single" w:sz="4" w:space="0" w:color="auto"/>
            </w:tcBorders>
          </w:tcPr>
          <w:p w:rsidR="00643EAA" w:rsidRPr="00A63968" w:rsidRDefault="00643EAA" w:rsidP="00F91A1E">
            <w:pPr>
              <w:tabs>
                <w:tab w:val="left" w:pos="185"/>
              </w:tabs>
              <w:suppressAutoHyphens/>
              <w:spacing w:after="120" w:line="240" w:lineRule="exact"/>
              <w:ind w:right="43"/>
              <w:rPr>
                <w:rFonts w:ascii="Calibri" w:hAnsi="Calibri"/>
              </w:rPr>
            </w:pPr>
          </w:p>
        </w:tc>
      </w:tr>
      <w:tr w:rsidR="00643EAA" w:rsidRPr="00A63968" w:rsidTr="00F91A1E">
        <w:tc>
          <w:tcPr>
            <w:tcW w:w="667" w:type="pct"/>
            <w:tcBorders>
              <w:top w:val="single" w:sz="4" w:space="0" w:color="auto"/>
              <w:bottom w:val="single" w:sz="4" w:space="0" w:color="auto"/>
            </w:tcBorders>
          </w:tcPr>
          <w:p w:rsidR="00643EAA" w:rsidRPr="00A63968" w:rsidRDefault="00643EAA" w:rsidP="00F91A1E">
            <w:pPr>
              <w:rPr>
                <w:rFonts w:ascii="Calibri" w:hAnsi="Calibri"/>
                <w:b/>
              </w:rPr>
            </w:pPr>
            <w:r w:rsidRPr="00A63968">
              <w:rPr>
                <w:rFonts w:ascii="Calibri" w:hAnsi="Calibri"/>
              </w:rPr>
              <w:br w:type="page"/>
            </w:r>
            <w:r w:rsidRPr="00A63968">
              <w:rPr>
                <w:rFonts w:ascii="Calibri" w:hAnsi="Calibri"/>
                <w:b/>
              </w:rPr>
              <w:t>Sub Expected Accomplishment</w:t>
            </w:r>
          </w:p>
        </w:tc>
        <w:tc>
          <w:tcPr>
            <w:tcW w:w="1446" w:type="pct"/>
            <w:tcBorders>
              <w:top w:val="single" w:sz="4" w:space="0" w:color="auto"/>
              <w:bottom w:val="single" w:sz="4" w:space="0" w:color="auto"/>
            </w:tcBorders>
          </w:tcPr>
          <w:p w:rsidR="00643EAA" w:rsidRPr="00A63968" w:rsidRDefault="00643EAA" w:rsidP="00F91A1E">
            <w:pPr>
              <w:rPr>
                <w:rFonts w:ascii="Calibri" w:hAnsi="Calibri"/>
              </w:rPr>
            </w:pPr>
            <w:r w:rsidRPr="00A63968">
              <w:rPr>
                <w:rFonts w:ascii="Calibri" w:hAnsi="Calibri"/>
              </w:rPr>
              <w:t>Improved policy dialogue and design for increasing access to basic services at local and national levels</w:t>
            </w:r>
          </w:p>
          <w:p w:rsidR="00643EAA" w:rsidRPr="00A63968" w:rsidRDefault="00643EAA" w:rsidP="00F91A1E">
            <w:pPr>
              <w:rPr>
                <w:rFonts w:ascii="Calibri" w:hAnsi="Calibri"/>
              </w:rPr>
            </w:pPr>
          </w:p>
          <w:p w:rsidR="00643EAA" w:rsidRPr="00A63968" w:rsidRDefault="00643EAA" w:rsidP="00F91A1E">
            <w:pPr>
              <w:rPr>
                <w:rFonts w:ascii="Calibri" w:hAnsi="Calibri"/>
              </w:rPr>
            </w:pPr>
            <w:r w:rsidRPr="00A63968">
              <w:rPr>
                <w:rFonts w:ascii="Calibri" w:hAnsi="Calibri"/>
              </w:rPr>
              <w:t xml:space="preserve">Strengthened capacities of local and national institutions to develop policies that increase access to basic services </w:t>
            </w:r>
          </w:p>
        </w:tc>
        <w:tc>
          <w:tcPr>
            <w:tcW w:w="1479" w:type="pct"/>
            <w:tcBorders>
              <w:top w:val="single" w:sz="4" w:space="0" w:color="auto"/>
              <w:bottom w:val="single" w:sz="4" w:space="0" w:color="auto"/>
            </w:tcBorders>
          </w:tcPr>
          <w:p w:rsidR="00643EAA" w:rsidRPr="00A63968" w:rsidRDefault="00643EAA" w:rsidP="00F91A1E">
            <w:pPr>
              <w:rPr>
                <w:rFonts w:ascii="Calibri" w:hAnsi="Calibri"/>
              </w:rPr>
            </w:pPr>
            <w:r w:rsidRPr="00A63968">
              <w:rPr>
                <w:rFonts w:ascii="Calibri" w:eastAsia="SimSun" w:hAnsi="Calibri"/>
              </w:rPr>
              <w:t>Increased commitment into urban basic services catalysed by UN-Habitat programmes in partner countries</w:t>
            </w:r>
            <w:r w:rsidRPr="00A63968">
              <w:rPr>
                <w:rFonts w:ascii="Calibri" w:eastAsia="SimSun" w:hAnsi="Calibri"/>
                <w:iCs/>
                <w:color w:val="000000"/>
              </w:rPr>
              <w:t xml:space="preserve"> </w:t>
            </w:r>
          </w:p>
          <w:p w:rsidR="00643EAA" w:rsidRPr="00A63968" w:rsidRDefault="00643EAA" w:rsidP="00F91A1E">
            <w:pPr>
              <w:pStyle w:val="ListParagraph"/>
              <w:ind w:left="360"/>
              <w:rPr>
                <w:rFonts w:ascii="Calibri" w:hAnsi="Calibri"/>
              </w:rPr>
            </w:pPr>
          </w:p>
          <w:p w:rsidR="00643EAA" w:rsidRPr="00A63968" w:rsidRDefault="00643EAA" w:rsidP="00F91A1E">
            <w:pPr>
              <w:rPr>
                <w:rFonts w:ascii="Calibri" w:hAnsi="Calibri"/>
              </w:rPr>
            </w:pPr>
            <w:r w:rsidRPr="00A63968">
              <w:rPr>
                <w:rFonts w:ascii="Calibri" w:eastAsia="SimSun" w:hAnsi="Calibri"/>
                <w:iCs/>
                <w:color w:val="000000"/>
              </w:rPr>
              <w:t>Strengthened partnership with regional development banks and other multilateral and bilateral financing institutions.</w:t>
            </w:r>
          </w:p>
        </w:tc>
        <w:tc>
          <w:tcPr>
            <w:tcW w:w="1408" w:type="pct"/>
            <w:tcBorders>
              <w:top w:val="single" w:sz="4" w:space="0" w:color="auto"/>
              <w:bottom w:val="single" w:sz="4" w:space="0" w:color="auto"/>
            </w:tcBorders>
          </w:tcPr>
          <w:p w:rsidR="00643EAA" w:rsidRPr="00A63968" w:rsidRDefault="00643EAA" w:rsidP="00F91A1E">
            <w:pPr>
              <w:rPr>
                <w:rFonts w:ascii="Calibri" w:hAnsi="Calibri"/>
              </w:rPr>
            </w:pPr>
            <w:r w:rsidRPr="00A63968">
              <w:rPr>
                <w:rFonts w:ascii="Calibri" w:hAnsi="Calibri"/>
              </w:rPr>
              <w:t>Increased availability of sustainable water supply services</w:t>
            </w:r>
          </w:p>
          <w:p w:rsidR="00F91A1E" w:rsidRPr="00A63968" w:rsidRDefault="00F91A1E" w:rsidP="00F91A1E">
            <w:pPr>
              <w:rPr>
                <w:rFonts w:ascii="Calibri" w:hAnsi="Calibri"/>
              </w:rPr>
            </w:pPr>
          </w:p>
          <w:p w:rsidR="00643EAA" w:rsidRPr="00A63968" w:rsidRDefault="00F91A1E" w:rsidP="00F91A1E">
            <w:pPr>
              <w:rPr>
                <w:rFonts w:ascii="Calibri" w:hAnsi="Calibri"/>
              </w:rPr>
            </w:pPr>
            <w:r w:rsidRPr="00A63968">
              <w:rPr>
                <w:rFonts w:ascii="Calibri" w:hAnsi="Calibri"/>
              </w:rPr>
              <w:t>I</w:t>
            </w:r>
            <w:r w:rsidR="00643EAA" w:rsidRPr="00A63968">
              <w:rPr>
                <w:rFonts w:ascii="Calibri" w:hAnsi="Calibri"/>
              </w:rPr>
              <w:t xml:space="preserve">ncreased awareness and availability of services to promote access to basic sanitation </w:t>
            </w:r>
          </w:p>
          <w:p w:rsidR="00F91A1E" w:rsidRPr="00A63968" w:rsidRDefault="00F91A1E" w:rsidP="00F91A1E">
            <w:pPr>
              <w:rPr>
                <w:rFonts w:ascii="Calibri" w:hAnsi="Calibri"/>
              </w:rPr>
            </w:pPr>
          </w:p>
          <w:p w:rsidR="00643EAA" w:rsidRPr="00A63968" w:rsidRDefault="00643EAA" w:rsidP="00F91A1E">
            <w:pPr>
              <w:rPr>
                <w:rFonts w:ascii="Calibri" w:hAnsi="Calibri"/>
              </w:rPr>
            </w:pPr>
            <w:r w:rsidRPr="00A63968">
              <w:rPr>
                <w:rFonts w:ascii="Calibri" w:hAnsi="Calibri"/>
              </w:rPr>
              <w:t>Increased awareness and availability of options of modern sustainable energy services</w:t>
            </w:r>
          </w:p>
          <w:p w:rsidR="00F91A1E" w:rsidRPr="00A63968" w:rsidRDefault="00F91A1E" w:rsidP="00F91A1E">
            <w:pPr>
              <w:rPr>
                <w:rFonts w:ascii="Calibri" w:hAnsi="Calibri"/>
              </w:rPr>
            </w:pPr>
          </w:p>
          <w:p w:rsidR="00643EAA" w:rsidRPr="00A63968" w:rsidRDefault="00643EAA" w:rsidP="00F91A1E">
            <w:pPr>
              <w:rPr>
                <w:rFonts w:ascii="Calibri" w:hAnsi="Calibri"/>
              </w:rPr>
            </w:pPr>
            <w:r w:rsidRPr="00A63968">
              <w:rPr>
                <w:rFonts w:ascii="Calibri" w:hAnsi="Calibri"/>
              </w:rPr>
              <w:t>Increased awareness and availability of options of sustainable modes of transport</w:t>
            </w:r>
          </w:p>
        </w:tc>
      </w:tr>
    </w:tbl>
    <w:p w:rsidR="00643EAA" w:rsidRPr="00A63968" w:rsidRDefault="00643EAA" w:rsidP="00643EAA">
      <w:pPr>
        <w:rPr>
          <w:rFonts w:ascii="Calibri" w:hAnsi="Calibri"/>
        </w:rPr>
      </w:pPr>
      <w:r w:rsidRPr="00A63968">
        <w:rPr>
          <w:rFonts w:ascii="Calibri" w:hAnsi="Calibri"/>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516"/>
        <w:gridCol w:w="4619"/>
        <w:gridCol w:w="4397"/>
      </w:tblGrid>
      <w:tr w:rsidR="00643EAA" w:rsidRPr="00A63968" w:rsidTr="00F91A1E">
        <w:trPr>
          <w:trHeight w:val="1016"/>
        </w:trPr>
        <w:tc>
          <w:tcPr>
            <w:tcW w:w="667" w:type="pct"/>
            <w:tcBorders>
              <w:top w:val="single" w:sz="4" w:space="0" w:color="auto"/>
            </w:tcBorders>
          </w:tcPr>
          <w:p w:rsidR="00643EAA" w:rsidRPr="00A63968" w:rsidRDefault="00643EAA" w:rsidP="00F91A1E">
            <w:pPr>
              <w:rPr>
                <w:rFonts w:ascii="Calibri" w:hAnsi="Calibri"/>
                <w:u w:val="single"/>
              </w:rPr>
            </w:pPr>
            <w:r w:rsidRPr="00A63968">
              <w:rPr>
                <w:rFonts w:ascii="Calibri" w:hAnsi="Calibri"/>
                <w:u w:val="single"/>
              </w:rPr>
              <w:lastRenderedPageBreak/>
              <w:t>Indicator</w:t>
            </w:r>
          </w:p>
        </w:tc>
        <w:tc>
          <w:tcPr>
            <w:tcW w:w="1446" w:type="pct"/>
            <w:tcBorders>
              <w:top w:val="single" w:sz="4" w:space="0" w:color="auto"/>
            </w:tcBorders>
          </w:tcPr>
          <w:p w:rsidR="00643EAA" w:rsidRPr="00A63968" w:rsidRDefault="00643EAA" w:rsidP="00F91A1E">
            <w:pPr>
              <w:tabs>
                <w:tab w:val="left" w:pos="185"/>
              </w:tabs>
              <w:suppressAutoHyphens/>
              <w:spacing w:after="240" w:line="240" w:lineRule="exact"/>
              <w:ind w:right="43"/>
              <w:rPr>
                <w:rFonts w:ascii="Calibri" w:eastAsia="SimSun" w:hAnsi="Calibri" w:cstheme="majorBidi"/>
                <w:b/>
                <w:bCs/>
                <w:color w:val="4F81BD" w:themeColor="accent1"/>
              </w:rPr>
            </w:pPr>
            <w:r w:rsidRPr="00A63968">
              <w:rPr>
                <w:rFonts w:ascii="Calibri" w:eastAsia="SimSun" w:hAnsi="Calibri"/>
              </w:rPr>
              <w:t>Number of local and national authorities developing and implementing policies that increase access to basic services</w:t>
            </w:r>
          </w:p>
          <w:p w:rsidR="00643EAA" w:rsidRPr="00A63968" w:rsidRDefault="00643EAA" w:rsidP="00F91A1E">
            <w:pPr>
              <w:tabs>
                <w:tab w:val="left" w:pos="185"/>
              </w:tabs>
              <w:suppressAutoHyphens/>
              <w:spacing w:after="240" w:line="240" w:lineRule="exact"/>
              <w:ind w:right="43"/>
              <w:rPr>
                <w:rFonts w:ascii="Calibri" w:eastAsia="SimSun" w:hAnsi="Calibri"/>
              </w:rPr>
            </w:pPr>
            <w:r w:rsidRPr="00A63968">
              <w:rPr>
                <w:rFonts w:ascii="Calibri" w:eastAsia="SimSun" w:hAnsi="Calibri"/>
              </w:rPr>
              <w:t>Number of local and national authorities with  increased capacity to develop and implement policies that increase access to basic services</w:t>
            </w:r>
          </w:p>
        </w:tc>
        <w:tc>
          <w:tcPr>
            <w:tcW w:w="1479" w:type="pct"/>
            <w:tcBorders>
              <w:top w:val="single" w:sz="4" w:space="0" w:color="auto"/>
            </w:tcBorders>
          </w:tcPr>
          <w:p w:rsidR="00643EAA" w:rsidRPr="00A63968" w:rsidRDefault="00643EAA" w:rsidP="00F91A1E">
            <w:pPr>
              <w:tabs>
                <w:tab w:val="left" w:pos="185"/>
              </w:tabs>
              <w:suppressAutoHyphens/>
              <w:spacing w:after="120" w:line="240" w:lineRule="exact"/>
              <w:ind w:right="43"/>
              <w:rPr>
                <w:rFonts w:ascii="Calibri" w:eastAsia="SimSun" w:hAnsi="Calibri" w:cstheme="majorBidi"/>
                <w:b/>
                <w:bCs/>
                <w:iCs/>
                <w:color w:val="000000"/>
              </w:rPr>
            </w:pPr>
            <w:r w:rsidRPr="00A63968">
              <w:rPr>
                <w:rFonts w:ascii="Calibri" w:eastAsia="SimSun" w:hAnsi="Calibri"/>
                <w:iCs/>
                <w:color w:val="000000"/>
              </w:rPr>
              <w:t xml:space="preserve">Number of partner countries reporting on increased </w:t>
            </w:r>
            <w:r w:rsidRPr="00A63968">
              <w:rPr>
                <w:rFonts w:ascii="Calibri" w:eastAsia="SimSun" w:hAnsi="Calibri"/>
              </w:rPr>
              <w:t xml:space="preserve">commitment of resources </w:t>
            </w:r>
            <w:r w:rsidRPr="00A63968">
              <w:rPr>
                <w:rFonts w:ascii="Calibri" w:eastAsia="SimSun" w:hAnsi="Calibri"/>
                <w:iCs/>
                <w:color w:val="000000"/>
              </w:rPr>
              <w:t>into urban basic services accrued from partnerships with other organizations</w:t>
            </w:r>
          </w:p>
          <w:p w:rsidR="00643EAA" w:rsidRPr="00A63968" w:rsidRDefault="00643EAA" w:rsidP="00F91A1E">
            <w:pPr>
              <w:tabs>
                <w:tab w:val="left" w:pos="185"/>
              </w:tabs>
              <w:suppressAutoHyphens/>
              <w:spacing w:after="120" w:line="240" w:lineRule="exact"/>
              <w:ind w:right="43"/>
              <w:rPr>
                <w:rFonts w:ascii="Calibri" w:eastAsia="SimSun" w:hAnsi="Calibri"/>
                <w:iCs/>
                <w:color w:val="000000"/>
              </w:rPr>
            </w:pPr>
            <w:r w:rsidRPr="00A63968">
              <w:rPr>
                <w:rFonts w:ascii="Calibri" w:eastAsia="SimSun" w:hAnsi="Calibri"/>
                <w:iCs/>
                <w:color w:val="000000"/>
              </w:rPr>
              <w:t>Number of regional development banks and other multilateral and bilateral financing institutions</w:t>
            </w:r>
          </w:p>
        </w:tc>
        <w:tc>
          <w:tcPr>
            <w:tcW w:w="1408" w:type="pct"/>
            <w:tcBorders>
              <w:top w:val="single" w:sz="4" w:space="0" w:color="auto"/>
            </w:tcBorders>
          </w:tcPr>
          <w:p w:rsidR="00643EAA" w:rsidRPr="00A63968" w:rsidRDefault="00643EAA" w:rsidP="00F91A1E">
            <w:pPr>
              <w:rPr>
                <w:rFonts w:ascii="Calibri" w:eastAsia="SimSun" w:hAnsi="Calibri"/>
              </w:rPr>
            </w:pPr>
            <w:r w:rsidRPr="00A63968">
              <w:rPr>
                <w:rFonts w:ascii="Calibri" w:eastAsia="SimSun" w:hAnsi="Calibri"/>
              </w:rPr>
              <w:t>Number of households in  partner cities using sustainable water supply services</w:t>
            </w:r>
          </w:p>
          <w:p w:rsidR="00F91A1E" w:rsidRPr="00A63968" w:rsidRDefault="00F91A1E" w:rsidP="00F91A1E">
            <w:pPr>
              <w:rPr>
                <w:rFonts w:ascii="Calibri" w:eastAsia="SimSun" w:hAnsi="Calibri"/>
              </w:rPr>
            </w:pPr>
          </w:p>
          <w:p w:rsidR="00643EAA" w:rsidRPr="00A63968" w:rsidRDefault="00643EAA" w:rsidP="00F91A1E">
            <w:pPr>
              <w:rPr>
                <w:rFonts w:ascii="Calibri" w:eastAsia="SimSun" w:hAnsi="Calibri"/>
              </w:rPr>
            </w:pPr>
            <w:r w:rsidRPr="00A63968">
              <w:rPr>
                <w:rFonts w:ascii="Calibri" w:eastAsia="SimSun" w:hAnsi="Calibri"/>
              </w:rPr>
              <w:t>Number of households in partner cities adopting improved sanitation practices</w:t>
            </w:r>
          </w:p>
          <w:p w:rsidR="00F91A1E" w:rsidRPr="00A63968" w:rsidRDefault="00F91A1E" w:rsidP="00F91A1E">
            <w:pPr>
              <w:rPr>
                <w:rFonts w:ascii="Calibri" w:eastAsia="SimSun" w:hAnsi="Calibri"/>
              </w:rPr>
            </w:pPr>
          </w:p>
          <w:p w:rsidR="00643EAA" w:rsidRPr="00A63968" w:rsidRDefault="00643EAA" w:rsidP="00F91A1E">
            <w:pPr>
              <w:rPr>
                <w:rFonts w:ascii="Calibri" w:eastAsia="SimSun" w:hAnsi="Calibri"/>
              </w:rPr>
            </w:pPr>
            <w:r w:rsidRPr="00A63968">
              <w:rPr>
                <w:rFonts w:ascii="Calibri" w:eastAsia="SimSun" w:hAnsi="Calibri"/>
              </w:rPr>
              <w:t xml:space="preserve">Number of households in partner cities using modern energy sources </w:t>
            </w:r>
          </w:p>
          <w:p w:rsidR="00F91A1E" w:rsidRPr="00A63968" w:rsidRDefault="00F91A1E" w:rsidP="00F91A1E">
            <w:pPr>
              <w:rPr>
                <w:rFonts w:ascii="Calibri" w:eastAsia="SimSun" w:hAnsi="Calibri"/>
              </w:rPr>
            </w:pPr>
          </w:p>
          <w:p w:rsidR="00643EAA" w:rsidRPr="00A63968" w:rsidRDefault="00643EAA" w:rsidP="00F91A1E">
            <w:pPr>
              <w:rPr>
                <w:rFonts w:ascii="Calibri" w:eastAsia="SimSun" w:hAnsi="Calibri"/>
              </w:rPr>
            </w:pPr>
            <w:r w:rsidRPr="00A63968">
              <w:rPr>
                <w:rFonts w:ascii="Calibri" w:eastAsia="SimSun" w:hAnsi="Calibri"/>
              </w:rPr>
              <w:t>Number of people in partner cities using sustainable modes of transport.</w:t>
            </w:r>
          </w:p>
        </w:tc>
      </w:tr>
    </w:tbl>
    <w:p w:rsidR="00643EAA" w:rsidRDefault="00643EAA" w:rsidP="00643EAA">
      <w:pPr>
        <w:rPr>
          <w:b/>
          <w:i/>
        </w:rPr>
      </w:pPr>
    </w:p>
    <w:p w:rsidR="00643EAA" w:rsidRDefault="00643EAA" w:rsidP="00643EAA"/>
    <w:p w:rsidR="00643EAA" w:rsidRDefault="00643EAA">
      <w:r>
        <w:br w:type="page"/>
      </w:r>
    </w:p>
    <w:p w:rsidR="00422DEE" w:rsidRPr="00953003" w:rsidRDefault="00422DEE" w:rsidP="00422DEE">
      <w:pPr>
        <w:rPr>
          <w:b/>
          <w:sz w:val="32"/>
        </w:rPr>
      </w:pPr>
      <w:r w:rsidRPr="00953003">
        <w:rPr>
          <w:b/>
          <w:sz w:val="32"/>
        </w:rPr>
        <w:lastRenderedPageBreak/>
        <w:t xml:space="preserve">Focus Area 5: Housing and slum upgrading </w:t>
      </w: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7"/>
        <w:gridCol w:w="4856"/>
        <w:gridCol w:w="4344"/>
        <w:gridCol w:w="4667"/>
      </w:tblGrid>
      <w:tr w:rsidR="00422DEE" w:rsidTr="002639F4">
        <w:tc>
          <w:tcPr>
            <w:tcW w:w="0" w:type="auto"/>
            <w:tcBorders>
              <w:top w:val="nil"/>
              <w:bottom w:val="single" w:sz="4" w:space="0" w:color="auto"/>
            </w:tcBorders>
          </w:tcPr>
          <w:p w:rsidR="00422DEE" w:rsidRPr="00953003" w:rsidRDefault="00422DEE" w:rsidP="002639F4">
            <w:pPr>
              <w:rPr>
                <w:b/>
              </w:rPr>
            </w:pPr>
          </w:p>
        </w:tc>
        <w:tc>
          <w:tcPr>
            <w:tcW w:w="0" w:type="auto"/>
            <w:gridSpan w:val="3"/>
            <w:tcBorders>
              <w:top w:val="nil"/>
              <w:bottom w:val="single" w:sz="4" w:space="0" w:color="auto"/>
            </w:tcBorders>
          </w:tcPr>
          <w:p w:rsidR="00422DEE" w:rsidRDefault="00422DEE" w:rsidP="002639F4"/>
        </w:tc>
      </w:tr>
      <w:tr w:rsidR="00422DEE" w:rsidTr="002639F4">
        <w:tc>
          <w:tcPr>
            <w:tcW w:w="0" w:type="auto"/>
            <w:tcBorders>
              <w:bottom w:val="nil"/>
            </w:tcBorders>
          </w:tcPr>
          <w:p w:rsidR="00422DEE" w:rsidRPr="00953003" w:rsidRDefault="00422DEE" w:rsidP="002639F4">
            <w:pPr>
              <w:rPr>
                <w:b/>
              </w:rPr>
            </w:pPr>
            <w:r w:rsidRPr="00953003">
              <w:rPr>
                <w:b/>
              </w:rPr>
              <w:t>Strategic Result</w:t>
            </w:r>
          </w:p>
        </w:tc>
        <w:tc>
          <w:tcPr>
            <w:tcW w:w="0" w:type="auto"/>
            <w:gridSpan w:val="3"/>
            <w:tcBorders>
              <w:bottom w:val="nil"/>
            </w:tcBorders>
          </w:tcPr>
          <w:p w:rsidR="00422DEE" w:rsidRDefault="00422DEE" w:rsidP="002639F4">
            <w:r w:rsidRPr="00941BC6">
              <w:t>Local, national and regional authorities have implemented policies for sustainable and inclusive housing, slum upgrading and prevention</w:t>
            </w:r>
          </w:p>
        </w:tc>
      </w:tr>
      <w:tr w:rsidR="00422DEE" w:rsidTr="002639F4">
        <w:tc>
          <w:tcPr>
            <w:tcW w:w="0" w:type="auto"/>
            <w:tcBorders>
              <w:top w:val="nil"/>
              <w:bottom w:val="nil"/>
            </w:tcBorders>
          </w:tcPr>
          <w:p w:rsidR="00422DEE" w:rsidRPr="00953003" w:rsidRDefault="00422DEE" w:rsidP="002639F4">
            <w:pPr>
              <w:rPr>
                <w:b/>
                <w:u w:val="single"/>
              </w:rPr>
            </w:pPr>
          </w:p>
        </w:tc>
        <w:tc>
          <w:tcPr>
            <w:tcW w:w="0" w:type="auto"/>
            <w:gridSpan w:val="3"/>
            <w:tcBorders>
              <w:top w:val="nil"/>
              <w:bottom w:val="nil"/>
            </w:tcBorders>
          </w:tcPr>
          <w:p w:rsidR="00422DEE" w:rsidRDefault="00422DEE" w:rsidP="002639F4"/>
        </w:tc>
      </w:tr>
      <w:tr w:rsidR="00422DEE" w:rsidTr="002639F4">
        <w:tc>
          <w:tcPr>
            <w:tcW w:w="0" w:type="auto"/>
            <w:tcBorders>
              <w:top w:val="nil"/>
              <w:bottom w:val="single" w:sz="4" w:space="0" w:color="auto"/>
            </w:tcBorders>
          </w:tcPr>
          <w:p w:rsidR="00422DEE" w:rsidRPr="00953003" w:rsidRDefault="00422DEE" w:rsidP="002639F4">
            <w:pPr>
              <w:rPr>
                <w:b/>
              </w:rPr>
            </w:pPr>
            <w:r w:rsidRPr="00953003">
              <w:rPr>
                <w:b/>
                <w:u w:val="single"/>
              </w:rPr>
              <w:t>Indicators</w:t>
            </w:r>
          </w:p>
        </w:tc>
        <w:tc>
          <w:tcPr>
            <w:tcW w:w="0" w:type="auto"/>
            <w:gridSpan w:val="3"/>
            <w:tcBorders>
              <w:top w:val="nil"/>
              <w:bottom w:val="single" w:sz="4" w:space="0" w:color="auto"/>
            </w:tcBorders>
          </w:tcPr>
          <w:p w:rsidR="00422DEE" w:rsidRDefault="00422DEE" w:rsidP="002639F4">
            <w:r w:rsidRPr="00941BC6">
              <w:t>Number of local, national and regional authorities that are implementing sustainable and inclusive housing, slum upgrading and prevention policies and programmes</w:t>
            </w:r>
          </w:p>
          <w:p w:rsidR="00422DEE" w:rsidRDefault="00422DEE" w:rsidP="002639F4"/>
        </w:tc>
      </w:tr>
      <w:tr w:rsidR="00422DEE" w:rsidTr="002639F4">
        <w:tc>
          <w:tcPr>
            <w:tcW w:w="0" w:type="auto"/>
            <w:tcBorders>
              <w:top w:val="single" w:sz="4" w:space="0" w:color="auto"/>
              <w:bottom w:val="nil"/>
            </w:tcBorders>
          </w:tcPr>
          <w:p w:rsidR="00422DEE" w:rsidRPr="00953003" w:rsidRDefault="00422DEE" w:rsidP="002639F4">
            <w:pPr>
              <w:rPr>
                <w:b/>
              </w:rPr>
            </w:pPr>
            <w:r w:rsidRPr="00953003">
              <w:rPr>
                <w:b/>
              </w:rPr>
              <w:t xml:space="preserve">Expected </w:t>
            </w:r>
          </w:p>
          <w:p w:rsidR="00422DEE" w:rsidRPr="00953003" w:rsidRDefault="00422DEE" w:rsidP="002639F4">
            <w:pPr>
              <w:rPr>
                <w:b/>
              </w:rPr>
            </w:pPr>
            <w:r w:rsidRPr="00953003">
              <w:rPr>
                <w:b/>
              </w:rPr>
              <w:t>Accomplishment</w:t>
            </w:r>
          </w:p>
        </w:tc>
        <w:tc>
          <w:tcPr>
            <w:tcW w:w="0" w:type="auto"/>
            <w:tcBorders>
              <w:top w:val="single" w:sz="4" w:space="0" w:color="auto"/>
              <w:bottom w:val="nil"/>
            </w:tcBorders>
          </w:tcPr>
          <w:p w:rsidR="00422DEE" w:rsidRPr="008A5DA6" w:rsidRDefault="00F00949" w:rsidP="002639F4">
            <w:r w:rsidRPr="00F719D5">
              <w:t xml:space="preserve">Global </w:t>
            </w:r>
            <w:r w:rsidRPr="00B919FA">
              <w:t xml:space="preserve">Housing </w:t>
            </w:r>
            <w:r w:rsidRPr="00F719D5">
              <w:t>Strategy</w:t>
            </w:r>
            <w:r>
              <w:t xml:space="preserve"> </w:t>
            </w:r>
            <w:r w:rsidRPr="00F719D5">
              <w:t>for inclusive housing, slum upgrading</w:t>
            </w:r>
            <w:r>
              <w:t xml:space="preserve"> and slum prevention formulated</w:t>
            </w:r>
          </w:p>
        </w:tc>
        <w:tc>
          <w:tcPr>
            <w:tcW w:w="0" w:type="auto"/>
            <w:tcBorders>
              <w:top w:val="single" w:sz="4" w:space="0" w:color="auto"/>
              <w:bottom w:val="nil"/>
            </w:tcBorders>
          </w:tcPr>
          <w:p w:rsidR="00422DEE" w:rsidRPr="008A5DA6" w:rsidRDefault="00F00949" w:rsidP="002639F4">
            <w:r>
              <w:t>National housing, slum upgrading and prevention strategies and programmes integrating the Global Housing Strategy vision and principles are formulated and implemented</w:t>
            </w:r>
          </w:p>
        </w:tc>
        <w:tc>
          <w:tcPr>
            <w:tcW w:w="0" w:type="auto"/>
            <w:tcBorders>
              <w:top w:val="single" w:sz="4" w:space="0" w:color="auto"/>
              <w:bottom w:val="nil"/>
            </w:tcBorders>
          </w:tcPr>
          <w:p w:rsidR="00422DEE" w:rsidRDefault="00F00949" w:rsidP="002639F4">
            <w:pPr>
              <w:tabs>
                <w:tab w:val="left" w:pos="185"/>
              </w:tabs>
              <w:suppressAutoHyphens/>
              <w:spacing w:after="120" w:line="240" w:lineRule="exact"/>
              <w:ind w:left="89" w:right="43"/>
            </w:pPr>
            <w:r>
              <w:t>National housing, slum upgrading and prevention strategies and programmes integrating Global Housing Strategy vision and principles are mainstreamed and implemented at city and community level</w:t>
            </w:r>
            <w:r w:rsidR="00422DEE" w:rsidRPr="00941BC6">
              <w:t xml:space="preserve"> </w:t>
            </w:r>
          </w:p>
          <w:p w:rsidR="00422DEE" w:rsidRPr="00941BC6" w:rsidRDefault="00422DEE" w:rsidP="002639F4">
            <w:pPr>
              <w:tabs>
                <w:tab w:val="left" w:pos="185"/>
              </w:tabs>
              <w:suppressAutoHyphens/>
              <w:spacing w:after="120" w:line="240" w:lineRule="exact"/>
              <w:ind w:left="269" w:right="43" w:hanging="180"/>
            </w:pPr>
          </w:p>
        </w:tc>
      </w:tr>
      <w:tr w:rsidR="00422DEE" w:rsidTr="002639F4">
        <w:tc>
          <w:tcPr>
            <w:tcW w:w="0" w:type="auto"/>
            <w:tcBorders>
              <w:top w:val="nil"/>
              <w:bottom w:val="nil"/>
            </w:tcBorders>
          </w:tcPr>
          <w:p w:rsidR="00422DEE" w:rsidRPr="00953003" w:rsidRDefault="00422DEE" w:rsidP="002639F4">
            <w:pPr>
              <w:rPr>
                <w:b/>
              </w:rPr>
            </w:pPr>
            <w:r w:rsidRPr="00953003">
              <w:rPr>
                <w:b/>
                <w:u w:val="single"/>
              </w:rPr>
              <w:t>Indic</w:t>
            </w:r>
            <w:r>
              <w:rPr>
                <w:b/>
                <w:u w:val="single"/>
              </w:rPr>
              <w:t>a</w:t>
            </w:r>
            <w:r w:rsidRPr="00953003">
              <w:rPr>
                <w:b/>
                <w:u w:val="single"/>
              </w:rPr>
              <w:t>tors</w:t>
            </w:r>
          </w:p>
        </w:tc>
        <w:tc>
          <w:tcPr>
            <w:tcW w:w="0" w:type="auto"/>
            <w:tcBorders>
              <w:top w:val="nil"/>
              <w:bottom w:val="nil"/>
            </w:tcBorders>
          </w:tcPr>
          <w:p w:rsidR="00422DEE" w:rsidRDefault="00F00949" w:rsidP="002639F4">
            <w:pPr>
              <w:tabs>
                <w:tab w:val="left" w:pos="185"/>
              </w:tabs>
              <w:suppressAutoHyphens/>
              <w:spacing w:after="120" w:line="240" w:lineRule="exact"/>
              <w:ind w:right="43"/>
            </w:pPr>
            <w:r>
              <w:t>N</w:t>
            </w:r>
            <w:r w:rsidRPr="008B1B50">
              <w:t>umber of local, regional</w:t>
            </w:r>
            <w:r>
              <w:t>,</w:t>
            </w:r>
            <w:r w:rsidRPr="008B1B50">
              <w:t xml:space="preserve"> national and supr</w:t>
            </w:r>
            <w:r>
              <w:t>a</w:t>
            </w:r>
            <w:r w:rsidRPr="008B1B50">
              <w:t>-national authorities and partners that have joined the Global Housing Strategy</w:t>
            </w:r>
          </w:p>
          <w:p w:rsidR="00F00949" w:rsidRDefault="00F00949" w:rsidP="002639F4">
            <w:pPr>
              <w:tabs>
                <w:tab w:val="left" w:pos="185"/>
              </w:tabs>
              <w:suppressAutoHyphens/>
              <w:spacing w:after="120" w:line="240" w:lineRule="exact"/>
              <w:ind w:right="43"/>
              <w:rPr>
                <w:iCs/>
                <w:lang w:eastAsia="nl-NL"/>
              </w:rPr>
            </w:pPr>
            <w:r>
              <w:t>N</w:t>
            </w:r>
            <w:r w:rsidRPr="00F32DC7">
              <w:t xml:space="preserve">umber </w:t>
            </w:r>
            <w:r w:rsidRPr="00F32DC7">
              <w:rPr>
                <w:iCs/>
                <w:lang w:eastAsia="nl-NL"/>
              </w:rPr>
              <w:t xml:space="preserve">of </w:t>
            </w:r>
            <w:r>
              <w:rPr>
                <w:iCs/>
                <w:lang w:eastAsia="nl-NL"/>
              </w:rPr>
              <w:t xml:space="preserve">partner </w:t>
            </w:r>
            <w:r w:rsidRPr="00F32DC7">
              <w:rPr>
                <w:iCs/>
                <w:lang w:eastAsia="nl-NL"/>
              </w:rPr>
              <w:t xml:space="preserve">countries that are working towards the </w:t>
            </w:r>
            <w:proofErr w:type="spellStart"/>
            <w:r w:rsidRPr="00F32DC7">
              <w:rPr>
                <w:iCs/>
                <w:lang w:eastAsia="nl-NL"/>
              </w:rPr>
              <w:t>realisation</w:t>
            </w:r>
            <w:proofErr w:type="spellEnd"/>
            <w:r w:rsidRPr="00F32DC7">
              <w:rPr>
                <w:iCs/>
                <w:lang w:eastAsia="nl-NL"/>
              </w:rPr>
              <w:t xml:space="preserve"> of the right to adequate housing as a component of the right to an adequate standard of living, particularly the reduction of unlawful forced evictions</w:t>
            </w:r>
          </w:p>
          <w:p w:rsidR="00F00949" w:rsidRPr="008A5DA6" w:rsidRDefault="00F00949" w:rsidP="002639F4">
            <w:pPr>
              <w:tabs>
                <w:tab w:val="left" w:pos="185"/>
              </w:tabs>
              <w:suppressAutoHyphens/>
              <w:spacing w:after="120" w:line="240" w:lineRule="exact"/>
              <w:ind w:right="43"/>
            </w:pPr>
            <w:r>
              <w:t>N</w:t>
            </w:r>
            <w:r w:rsidRPr="00F32DC7">
              <w:t>umber</w:t>
            </w:r>
            <w:r w:rsidRPr="00F32DC7">
              <w:rPr>
                <w:iCs/>
                <w:lang w:eastAsia="nl-NL"/>
              </w:rPr>
              <w:t xml:space="preserve"> of countries that are implementing sustainable building codes and regulations</w:t>
            </w:r>
          </w:p>
        </w:tc>
        <w:tc>
          <w:tcPr>
            <w:tcW w:w="0" w:type="auto"/>
            <w:tcBorders>
              <w:top w:val="nil"/>
              <w:bottom w:val="nil"/>
            </w:tcBorders>
          </w:tcPr>
          <w:p w:rsidR="00422DEE" w:rsidRDefault="00F00949" w:rsidP="002639F4">
            <w:pPr>
              <w:tabs>
                <w:tab w:val="left" w:pos="185"/>
              </w:tabs>
              <w:suppressAutoHyphens/>
              <w:spacing w:after="120" w:line="240" w:lineRule="exact"/>
              <w:ind w:right="43"/>
            </w:pPr>
            <w:r>
              <w:t>Number of national housing, slum upgrading and prevention strategies and programmes aligned to the Global Housing Strategy vision and principles formulated and implemented</w:t>
            </w:r>
          </w:p>
          <w:p w:rsidR="00F00949" w:rsidRPr="008A5DA6" w:rsidRDefault="00F00949" w:rsidP="002639F4">
            <w:pPr>
              <w:tabs>
                <w:tab w:val="left" w:pos="185"/>
              </w:tabs>
              <w:suppressAutoHyphens/>
              <w:spacing w:after="120" w:line="240" w:lineRule="exact"/>
              <w:ind w:right="43"/>
            </w:pPr>
            <w:r>
              <w:t>Increased number of partner national authorities commencing the implementation of slum upgrading programmes</w:t>
            </w:r>
          </w:p>
        </w:tc>
        <w:tc>
          <w:tcPr>
            <w:tcW w:w="0" w:type="auto"/>
            <w:tcBorders>
              <w:top w:val="nil"/>
              <w:bottom w:val="nil"/>
            </w:tcBorders>
          </w:tcPr>
          <w:p w:rsidR="00422DEE" w:rsidRPr="00941BC6" w:rsidRDefault="00F00949" w:rsidP="002639F4">
            <w:pPr>
              <w:tabs>
                <w:tab w:val="left" w:pos="185"/>
              </w:tabs>
              <w:suppressAutoHyphens/>
              <w:spacing w:after="120" w:line="240" w:lineRule="exact"/>
              <w:ind w:right="43"/>
            </w:pPr>
            <w:r>
              <w:t>Number of city and community development plans formulated and implemented based on the national housing, slum upgrading and prevention strategies and programmes</w:t>
            </w:r>
          </w:p>
        </w:tc>
      </w:tr>
    </w:tbl>
    <w:p w:rsidR="00422DEE" w:rsidRDefault="00422DEE" w:rsidP="00422DEE"/>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8"/>
        <w:gridCol w:w="4426"/>
        <w:gridCol w:w="5021"/>
        <w:gridCol w:w="4419"/>
      </w:tblGrid>
      <w:tr w:rsidR="00422DEE" w:rsidTr="002639F4">
        <w:tc>
          <w:tcPr>
            <w:tcW w:w="0" w:type="auto"/>
            <w:tcBorders>
              <w:top w:val="single" w:sz="4" w:space="0" w:color="auto"/>
              <w:bottom w:val="single" w:sz="4" w:space="0" w:color="auto"/>
            </w:tcBorders>
          </w:tcPr>
          <w:p w:rsidR="00422DEE" w:rsidRPr="00953003" w:rsidRDefault="00422DEE" w:rsidP="002639F4">
            <w:pPr>
              <w:rPr>
                <w:b/>
              </w:rPr>
            </w:pPr>
            <w:r w:rsidRPr="00953003">
              <w:rPr>
                <w:b/>
              </w:rPr>
              <w:t xml:space="preserve">Sub-Expected </w:t>
            </w:r>
          </w:p>
          <w:p w:rsidR="00422DEE" w:rsidRPr="00953003" w:rsidRDefault="00422DEE" w:rsidP="002639F4">
            <w:pPr>
              <w:rPr>
                <w:b/>
              </w:rPr>
            </w:pPr>
            <w:r w:rsidRPr="00953003">
              <w:rPr>
                <w:b/>
              </w:rPr>
              <w:t>Accomplishment</w:t>
            </w:r>
          </w:p>
        </w:tc>
        <w:tc>
          <w:tcPr>
            <w:tcW w:w="0" w:type="auto"/>
            <w:tcBorders>
              <w:top w:val="single" w:sz="4" w:space="0" w:color="auto"/>
              <w:bottom w:val="single" w:sz="4" w:space="0" w:color="auto"/>
            </w:tcBorders>
          </w:tcPr>
          <w:p w:rsidR="00422DEE" w:rsidRPr="008A5DA6" w:rsidRDefault="00422DEE" w:rsidP="002639F4">
            <w:r w:rsidRPr="0075764E">
              <w:t xml:space="preserve">Partnerships at global and regional levels </w:t>
            </w:r>
            <w:r>
              <w:t xml:space="preserve">towards the formulation of the Global Housing Strategy established and </w:t>
            </w:r>
            <w:r w:rsidRPr="0075764E">
              <w:t>strengthened</w:t>
            </w:r>
            <w:r>
              <w:t>.</w:t>
            </w:r>
          </w:p>
          <w:p w:rsidR="00422DEE" w:rsidRDefault="00422DEE" w:rsidP="002639F4">
            <w:pPr>
              <w:pStyle w:val="ListParagraph"/>
              <w:ind w:left="413"/>
            </w:pPr>
          </w:p>
          <w:p w:rsidR="00422DEE" w:rsidRPr="008A5DA6" w:rsidRDefault="00422DEE" w:rsidP="002639F4">
            <w:pPr>
              <w:pStyle w:val="ListParagraph"/>
              <w:ind w:left="413"/>
            </w:pPr>
          </w:p>
          <w:p w:rsidR="00422DEE" w:rsidRPr="00DA4861" w:rsidRDefault="00422DEE" w:rsidP="002639F4">
            <w:pPr>
              <w:rPr>
                <w:rFonts w:asciiTheme="majorHAnsi" w:eastAsiaTheme="majorEastAsia" w:hAnsiTheme="majorHAnsi" w:cstheme="majorBidi"/>
                <w:b/>
                <w:bCs/>
                <w:color w:val="4F81BD" w:themeColor="accent1"/>
                <w:sz w:val="26"/>
                <w:szCs w:val="26"/>
              </w:rPr>
            </w:pPr>
            <w:r>
              <w:t>Global Housing Strategy formulated and adopted by Member States.</w:t>
            </w:r>
          </w:p>
        </w:tc>
        <w:tc>
          <w:tcPr>
            <w:tcW w:w="0" w:type="auto"/>
            <w:tcBorders>
              <w:top w:val="single" w:sz="4" w:space="0" w:color="auto"/>
              <w:bottom w:val="single" w:sz="4" w:space="0" w:color="auto"/>
            </w:tcBorders>
          </w:tcPr>
          <w:p w:rsidR="00422DEE" w:rsidRPr="008A5DA6" w:rsidRDefault="00422DEE" w:rsidP="002639F4">
            <w:pPr>
              <w:ind w:left="53"/>
            </w:pPr>
            <w:r w:rsidRPr="0075764E">
              <w:t xml:space="preserve">Partnerships at national level for </w:t>
            </w:r>
            <w:r>
              <w:t xml:space="preserve">formulating national housing and slum upgrading strategies </w:t>
            </w:r>
            <w:r w:rsidRPr="0075764E">
              <w:t>and</w:t>
            </w:r>
            <w:r>
              <w:t xml:space="preserve"> programmes in aligned with the GHS</w:t>
            </w:r>
            <w:r w:rsidRPr="0075764E">
              <w:t xml:space="preserve"> strengthened</w:t>
            </w:r>
            <w:r>
              <w:t>.</w:t>
            </w:r>
          </w:p>
          <w:p w:rsidR="00422DEE" w:rsidRPr="008A5DA6" w:rsidRDefault="00422DEE" w:rsidP="002639F4">
            <w:pPr>
              <w:ind w:left="53"/>
            </w:pPr>
          </w:p>
          <w:p w:rsidR="00422DEE" w:rsidRPr="008A5DA6" w:rsidRDefault="00422DEE" w:rsidP="002639F4">
            <w:r>
              <w:t>National housing and slum upgrading strategies and programmes formulated and implemented.</w:t>
            </w:r>
          </w:p>
        </w:tc>
        <w:tc>
          <w:tcPr>
            <w:tcW w:w="0" w:type="auto"/>
            <w:tcBorders>
              <w:top w:val="single" w:sz="4" w:space="0" w:color="auto"/>
              <w:bottom w:val="single" w:sz="4" w:space="0" w:color="auto"/>
            </w:tcBorders>
          </w:tcPr>
          <w:p w:rsidR="00422DEE" w:rsidRPr="00DA4861" w:rsidRDefault="00422DEE" w:rsidP="002639F4">
            <w:pPr>
              <w:rPr>
                <w:vanish/>
              </w:rPr>
            </w:pPr>
            <w:r>
              <w:t>Partnerships at city</w:t>
            </w:r>
            <w:r w:rsidRPr="0078389D">
              <w:t xml:space="preserve"> and community level for </w:t>
            </w:r>
            <w:r>
              <w:t>implementing</w:t>
            </w:r>
            <w:r w:rsidRPr="0078389D">
              <w:t xml:space="preserve"> housing</w:t>
            </w:r>
            <w:r>
              <w:t xml:space="preserve"> and</w:t>
            </w:r>
            <w:r w:rsidRPr="0078389D">
              <w:t xml:space="preserve"> slum upgradin</w:t>
            </w:r>
            <w:r>
              <w:t>g</w:t>
            </w:r>
            <w:r w:rsidRPr="0078389D">
              <w:t xml:space="preserve"> </w:t>
            </w:r>
            <w:r>
              <w:t xml:space="preserve">initiatives </w:t>
            </w:r>
            <w:r w:rsidRPr="0078389D">
              <w:t>strengthened</w:t>
            </w:r>
            <w:r>
              <w:t>.</w:t>
            </w:r>
          </w:p>
          <w:p w:rsidR="00422DEE" w:rsidRDefault="00422DEE" w:rsidP="002639F4">
            <w:pPr>
              <w:pStyle w:val="ListParagraph"/>
              <w:ind w:left="400"/>
            </w:pPr>
          </w:p>
          <w:p w:rsidR="00422DEE" w:rsidRDefault="00422DEE" w:rsidP="002639F4">
            <w:r>
              <w:t>National</w:t>
            </w:r>
            <w:r w:rsidRPr="0075764E">
              <w:t xml:space="preserve"> housing</w:t>
            </w:r>
            <w:r>
              <w:t xml:space="preserve"> and</w:t>
            </w:r>
            <w:r w:rsidRPr="0075764E">
              <w:t xml:space="preserve"> slum upgrading </w:t>
            </w:r>
            <w:r>
              <w:t>strategies and programmes at city and community</w:t>
            </w:r>
            <w:r w:rsidRPr="0075764E">
              <w:t xml:space="preserve"> level</w:t>
            </w:r>
            <w:r>
              <w:t>s</w:t>
            </w:r>
            <w:r w:rsidRPr="0075764E">
              <w:t xml:space="preserve"> </w:t>
            </w:r>
            <w:r>
              <w:t>mainstreamed.</w:t>
            </w:r>
          </w:p>
          <w:p w:rsidR="00422DEE" w:rsidRPr="008A5DA6" w:rsidRDefault="00422DEE" w:rsidP="002639F4"/>
        </w:tc>
      </w:tr>
    </w:tbl>
    <w:p w:rsidR="00422DEE" w:rsidRDefault="00422DEE" w:rsidP="00422DEE">
      <w:r>
        <w:br w:type="page"/>
      </w: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
        <w:gridCol w:w="5158"/>
        <w:gridCol w:w="5251"/>
        <w:gridCol w:w="4166"/>
      </w:tblGrid>
      <w:tr w:rsidR="00422DEE" w:rsidTr="002639F4">
        <w:tc>
          <w:tcPr>
            <w:tcW w:w="0" w:type="auto"/>
            <w:tcBorders>
              <w:top w:val="single" w:sz="4" w:space="0" w:color="auto"/>
            </w:tcBorders>
          </w:tcPr>
          <w:p w:rsidR="00422DEE" w:rsidRPr="00953003" w:rsidRDefault="00422DEE" w:rsidP="002639F4">
            <w:pPr>
              <w:rPr>
                <w:b/>
              </w:rPr>
            </w:pPr>
            <w:r>
              <w:rPr>
                <w:b/>
              </w:rPr>
              <w:lastRenderedPageBreak/>
              <w:t>Indicator</w:t>
            </w:r>
          </w:p>
        </w:tc>
        <w:tc>
          <w:tcPr>
            <w:tcW w:w="0" w:type="auto"/>
            <w:tcBorders>
              <w:top w:val="single" w:sz="4" w:space="0" w:color="auto"/>
            </w:tcBorders>
          </w:tcPr>
          <w:p w:rsidR="00422DEE" w:rsidRDefault="00422DEE" w:rsidP="002639F4">
            <w:r>
              <w:t xml:space="preserve">Number of international events and </w:t>
            </w:r>
            <w:r w:rsidRPr="000548B7">
              <w:t xml:space="preserve">policy dialogue meetings held with engagement of key players, </w:t>
            </w:r>
            <w:r>
              <w:t>leading to partnerships</w:t>
            </w:r>
            <w:r w:rsidRPr="000548B7">
              <w:t xml:space="preserve"> to promote the GHS </w:t>
            </w:r>
            <w:r>
              <w:t xml:space="preserve">vision and </w:t>
            </w:r>
            <w:r w:rsidRPr="000548B7">
              <w:t>principles</w:t>
            </w:r>
            <w:r>
              <w:t>.</w:t>
            </w:r>
          </w:p>
          <w:p w:rsidR="00422DEE" w:rsidRDefault="00422DEE" w:rsidP="002639F4">
            <w:pPr>
              <w:pStyle w:val="ListParagraph"/>
              <w:ind w:left="449"/>
            </w:pPr>
          </w:p>
          <w:p w:rsidR="00422DEE" w:rsidRDefault="00422DEE" w:rsidP="002639F4">
            <w:pPr>
              <w:rPr>
                <w:lang w:bidi="en-US"/>
              </w:rPr>
            </w:pPr>
            <w:r w:rsidRPr="008A5DA6">
              <w:t>Number of</w:t>
            </w:r>
            <w:r>
              <w:t xml:space="preserve"> substantive documents elaborated to support the formulation and adoption of the Global Housing Strategy </w:t>
            </w:r>
          </w:p>
        </w:tc>
        <w:tc>
          <w:tcPr>
            <w:tcW w:w="0" w:type="auto"/>
            <w:tcBorders>
              <w:top w:val="single" w:sz="4" w:space="0" w:color="auto"/>
            </w:tcBorders>
          </w:tcPr>
          <w:p w:rsidR="00422DEE" w:rsidRPr="008A5DA6" w:rsidRDefault="00422DEE" w:rsidP="002639F4">
            <w:r w:rsidRPr="00AF1AA7">
              <w:t>Number of National Habitat Committee</w:t>
            </w:r>
            <w:r>
              <w:t>s</w:t>
            </w:r>
            <w:r w:rsidRPr="00AF1AA7">
              <w:t xml:space="preserve"> established that support the </w:t>
            </w:r>
            <w:r>
              <w:t xml:space="preserve">formulation of national housing and slum upgrading strategies and programmes aligned with </w:t>
            </w:r>
            <w:r w:rsidRPr="00AF1AA7">
              <w:t>GHS</w:t>
            </w:r>
          </w:p>
          <w:p w:rsidR="00422DEE" w:rsidRPr="008A5DA6" w:rsidRDefault="00422DEE" w:rsidP="002639F4"/>
          <w:p w:rsidR="00422DEE" w:rsidRPr="008A5DA6" w:rsidRDefault="00422DEE" w:rsidP="002639F4">
            <w:r w:rsidRPr="008A5DA6">
              <w:t>Number of</w:t>
            </w:r>
            <w:r w:rsidRPr="0075764E">
              <w:t xml:space="preserve"> </w:t>
            </w:r>
            <w:r>
              <w:t xml:space="preserve">national </w:t>
            </w:r>
            <w:r w:rsidRPr="0075764E">
              <w:t>housing</w:t>
            </w:r>
            <w:r>
              <w:t xml:space="preserve"> and </w:t>
            </w:r>
            <w:r w:rsidRPr="0075764E">
              <w:t>slum upgrading strategies</w:t>
            </w:r>
            <w:r>
              <w:t xml:space="preserve"> and programmes </w:t>
            </w:r>
            <w:r w:rsidRPr="0075764E">
              <w:t xml:space="preserve"> </w:t>
            </w:r>
            <w:r>
              <w:t>formulated and implemented</w:t>
            </w:r>
          </w:p>
        </w:tc>
        <w:tc>
          <w:tcPr>
            <w:tcW w:w="0" w:type="auto"/>
            <w:tcBorders>
              <w:top w:val="single" w:sz="4" w:space="0" w:color="auto"/>
            </w:tcBorders>
          </w:tcPr>
          <w:p w:rsidR="00422DEE" w:rsidRDefault="00422DEE" w:rsidP="002639F4">
            <w:pPr>
              <w:rPr>
                <w:lang w:bidi="en-US"/>
              </w:rPr>
            </w:pPr>
            <w:r w:rsidRPr="00AF1AA7">
              <w:t xml:space="preserve">Number of </w:t>
            </w:r>
            <w:proofErr w:type="gramStart"/>
            <w:r w:rsidRPr="00AF1AA7">
              <w:t>communities participating</w:t>
            </w:r>
            <w:proofErr w:type="gramEnd"/>
            <w:r w:rsidRPr="00AF1AA7">
              <w:t xml:space="preserve"> in strategy development and decision making processes</w:t>
            </w:r>
            <w:r>
              <w:t xml:space="preserve"> aligned with GHS. </w:t>
            </w:r>
          </w:p>
          <w:p w:rsidR="00422DEE" w:rsidRDefault="00422DEE" w:rsidP="002639F4"/>
          <w:p w:rsidR="00422DEE" w:rsidRPr="008A5DA6" w:rsidRDefault="00422DEE" w:rsidP="002639F4">
            <w:r w:rsidRPr="008A5DA6">
              <w:t>Number of</w:t>
            </w:r>
            <w:r w:rsidRPr="0075764E">
              <w:t xml:space="preserve"> </w:t>
            </w:r>
            <w:r>
              <w:t xml:space="preserve">national </w:t>
            </w:r>
            <w:r w:rsidRPr="0075764E">
              <w:t>housing</w:t>
            </w:r>
            <w:r>
              <w:t xml:space="preserve"> and</w:t>
            </w:r>
            <w:r w:rsidRPr="0075764E">
              <w:t xml:space="preserve"> slum upgrading strategies </w:t>
            </w:r>
            <w:r>
              <w:t>and programmes mainstreamed at city and community levels.</w:t>
            </w:r>
          </w:p>
        </w:tc>
      </w:tr>
    </w:tbl>
    <w:p w:rsidR="00422DEE" w:rsidRDefault="00422DEE" w:rsidP="00422DEE"/>
    <w:p w:rsidR="00422DEE" w:rsidRDefault="00422DEE">
      <w:pPr>
        <w:rPr>
          <w:b/>
          <w:sz w:val="32"/>
        </w:rPr>
      </w:pPr>
      <w:r>
        <w:rPr>
          <w:b/>
          <w:sz w:val="32"/>
        </w:rPr>
        <w:br w:type="page"/>
      </w:r>
    </w:p>
    <w:p w:rsidR="00D32A8F" w:rsidRPr="00953003" w:rsidRDefault="00D32A8F" w:rsidP="00D32A8F">
      <w:pPr>
        <w:rPr>
          <w:b/>
          <w:sz w:val="32"/>
        </w:rPr>
      </w:pPr>
      <w:r w:rsidRPr="00953003">
        <w:rPr>
          <w:b/>
          <w:sz w:val="32"/>
        </w:rPr>
        <w:lastRenderedPageBreak/>
        <w:t>Focus Area 6: Risk reduction and rehabilitation</w:t>
      </w:r>
    </w:p>
    <w:tbl>
      <w:tblPr>
        <w:tblStyle w:val="TableGrid"/>
        <w:tblW w:w="0" w:type="auto"/>
        <w:tblLook w:val="04A0" w:firstRow="1" w:lastRow="0" w:firstColumn="1" w:lastColumn="0" w:noHBand="0" w:noVBand="1"/>
      </w:tblPr>
      <w:tblGrid>
        <w:gridCol w:w="2087"/>
        <w:gridCol w:w="4370"/>
        <w:gridCol w:w="4836"/>
        <w:gridCol w:w="4321"/>
      </w:tblGrid>
      <w:tr w:rsidR="00D32A8F" w:rsidTr="002639F4">
        <w:tc>
          <w:tcPr>
            <w:tcW w:w="0" w:type="auto"/>
            <w:tcBorders>
              <w:left w:val="nil"/>
              <w:right w:val="nil"/>
            </w:tcBorders>
          </w:tcPr>
          <w:p w:rsidR="00D32A8F" w:rsidRPr="00C152EA" w:rsidRDefault="00D32A8F" w:rsidP="002639F4">
            <w:pPr>
              <w:rPr>
                <w:b/>
              </w:rPr>
            </w:pPr>
            <w:r w:rsidRPr="00C152EA">
              <w:rPr>
                <w:b/>
              </w:rPr>
              <w:t>Strategic Result</w:t>
            </w:r>
          </w:p>
        </w:tc>
        <w:tc>
          <w:tcPr>
            <w:tcW w:w="0" w:type="auto"/>
            <w:gridSpan w:val="3"/>
            <w:tcBorders>
              <w:left w:val="nil"/>
              <w:right w:val="nil"/>
            </w:tcBorders>
          </w:tcPr>
          <w:p w:rsidR="00D32A8F" w:rsidRDefault="00D32A8F" w:rsidP="002639F4">
            <w:r w:rsidRPr="00AF08DF">
              <w:t>Cities have increased their resilience to the impacts of natural and human-made crises and undertaken rehabilitation in ways that advance sustainable urban development</w:t>
            </w:r>
          </w:p>
        </w:tc>
      </w:tr>
      <w:tr w:rsidR="00D32A8F" w:rsidTr="002639F4">
        <w:tc>
          <w:tcPr>
            <w:tcW w:w="0" w:type="auto"/>
            <w:tcBorders>
              <w:left w:val="nil"/>
              <w:right w:val="nil"/>
            </w:tcBorders>
          </w:tcPr>
          <w:p w:rsidR="00D32A8F" w:rsidRPr="00C152EA" w:rsidRDefault="00D32A8F" w:rsidP="002639F4">
            <w:pPr>
              <w:rPr>
                <w:u w:val="single"/>
              </w:rPr>
            </w:pPr>
            <w:r w:rsidRPr="00C152EA">
              <w:rPr>
                <w:u w:val="single"/>
              </w:rPr>
              <w:t>Indicator</w:t>
            </w:r>
          </w:p>
        </w:tc>
        <w:tc>
          <w:tcPr>
            <w:tcW w:w="0" w:type="auto"/>
            <w:gridSpan w:val="3"/>
            <w:tcBorders>
              <w:left w:val="nil"/>
              <w:right w:val="nil"/>
            </w:tcBorders>
          </w:tcPr>
          <w:p w:rsidR="00D32A8F" w:rsidRDefault="00D32A8F" w:rsidP="002639F4">
            <w:r>
              <w:t>Number of partner cities, regional and national authorities that have implemented and integrated risk reduction strategies and programming within their urban planning and management systems, with particular emphasis on the most vulnerable population</w:t>
            </w:r>
          </w:p>
        </w:tc>
      </w:tr>
      <w:tr w:rsidR="00D32A8F" w:rsidTr="002639F4">
        <w:tc>
          <w:tcPr>
            <w:tcW w:w="0" w:type="auto"/>
            <w:tcBorders>
              <w:left w:val="nil"/>
              <w:right w:val="nil"/>
            </w:tcBorders>
          </w:tcPr>
          <w:p w:rsidR="00D32A8F" w:rsidRPr="00C152EA" w:rsidRDefault="00D32A8F" w:rsidP="002639F4">
            <w:pPr>
              <w:rPr>
                <w:b/>
              </w:rPr>
            </w:pPr>
            <w:r w:rsidRPr="00C152EA">
              <w:rPr>
                <w:b/>
              </w:rPr>
              <w:t>Expected Accomplishment</w:t>
            </w:r>
          </w:p>
        </w:tc>
        <w:tc>
          <w:tcPr>
            <w:tcW w:w="0" w:type="auto"/>
            <w:tcBorders>
              <w:left w:val="nil"/>
              <w:right w:val="nil"/>
            </w:tcBorders>
          </w:tcPr>
          <w:p w:rsidR="00D32A8F" w:rsidRDefault="007A576E" w:rsidP="002639F4">
            <w:r w:rsidRPr="00F32DC7">
              <w:t>Improved  urban risk reduction policies, strategies and programmes adopted for greater resilience of cities and other human settlements</w:t>
            </w:r>
          </w:p>
        </w:tc>
        <w:tc>
          <w:tcPr>
            <w:tcW w:w="0" w:type="auto"/>
            <w:tcBorders>
              <w:left w:val="nil"/>
              <w:right w:val="nil"/>
            </w:tcBorders>
          </w:tcPr>
          <w:p w:rsidR="00D32A8F" w:rsidRDefault="007A576E" w:rsidP="002639F4">
            <w:r w:rsidRPr="00F32DC7">
              <w:t>Improved  settlements recovery and reconstruction interventions for long-term sustainability in cities and other human settlements</w:t>
            </w:r>
          </w:p>
        </w:tc>
        <w:tc>
          <w:tcPr>
            <w:tcW w:w="0" w:type="auto"/>
            <w:tcBorders>
              <w:left w:val="nil"/>
              <w:right w:val="nil"/>
            </w:tcBorders>
          </w:tcPr>
          <w:p w:rsidR="00D32A8F" w:rsidRDefault="007A576E" w:rsidP="002639F4">
            <w:r w:rsidRPr="00F32DC7">
              <w:t>Shelter rehabilitation programmes in cris</w:t>
            </w:r>
            <w:r>
              <w:t>e</w:t>
            </w:r>
            <w:r w:rsidRPr="00F32DC7">
              <w:t>s responses have contributed to sustainable and resilient cities and other human settlements</w:t>
            </w:r>
          </w:p>
        </w:tc>
      </w:tr>
      <w:tr w:rsidR="00D32A8F" w:rsidTr="002639F4">
        <w:tc>
          <w:tcPr>
            <w:tcW w:w="0" w:type="auto"/>
            <w:tcBorders>
              <w:left w:val="nil"/>
              <w:right w:val="nil"/>
            </w:tcBorders>
          </w:tcPr>
          <w:p w:rsidR="00D32A8F" w:rsidRPr="00C152EA" w:rsidRDefault="00D32A8F" w:rsidP="002639F4">
            <w:pPr>
              <w:rPr>
                <w:u w:val="single"/>
              </w:rPr>
            </w:pPr>
            <w:r w:rsidRPr="00C152EA">
              <w:rPr>
                <w:u w:val="single"/>
              </w:rPr>
              <w:t>Indicator</w:t>
            </w:r>
          </w:p>
        </w:tc>
        <w:tc>
          <w:tcPr>
            <w:tcW w:w="0" w:type="auto"/>
            <w:tcBorders>
              <w:left w:val="nil"/>
              <w:right w:val="nil"/>
            </w:tcBorders>
          </w:tcPr>
          <w:p w:rsidR="00D32A8F" w:rsidRDefault="007A576E" w:rsidP="002D6746">
            <w:r>
              <w:t xml:space="preserve">Number </w:t>
            </w:r>
            <w:r w:rsidRPr="00F32DC7">
              <w:t xml:space="preserve"> of local, regional and national government</w:t>
            </w:r>
            <w:r>
              <w:t>s and partners</w:t>
            </w:r>
            <w:r w:rsidRPr="00F32DC7">
              <w:t xml:space="preserve"> that have included urban risk reduction and management in their plans</w:t>
            </w:r>
          </w:p>
        </w:tc>
        <w:tc>
          <w:tcPr>
            <w:tcW w:w="0" w:type="auto"/>
            <w:tcBorders>
              <w:left w:val="nil"/>
              <w:right w:val="nil"/>
            </w:tcBorders>
          </w:tcPr>
          <w:p w:rsidR="00D32A8F" w:rsidRDefault="007A576E" w:rsidP="002D6746">
            <w:r>
              <w:t>P</w:t>
            </w:r>
            <w:r w:rsidRPr="00F32DC7">
              <w:t>ercentage of partner cities and other human settlements, that have implemented sustainable urban reconstruction programmes</w:t>
            </w:r>
            <w:r>
              <w:t xml:space="preserve"> including risk reduction</w:t>
            </w:r>
          </w:p>
          <w:p w:rsidR="00D32A8F" w:rsidRDefault="00D32A8F" w:rsidP="002639F4">
            <w:pPr>
              <w:pStyle w:val="ListParagraph"/>
              <w:ind w:left="130"/>
            </w:pPr>
          </w:p>
          <w:p w:rsidR="00D32A8F" w:rsidRDefault="007A576E" w:rsidP="002639F4">
            <w:r>
              <w:t xml:space="preserve">Percentage of UN-Habitat </w:t>
            </w:r>
            <w:r w:rsidRPr="00F32DC7">
              <w:t>emergency interventions integrating long-term development and risk</w:t>
            </w:r>
            <w:r w:rsidRPr="00F32DC7">
              <w:rPr>
                <w:iCs/>
              </w:rPr>
              <w:t xml:space="preserve"> reduction</w:t>
            </w:r>
          </w:p>
        </w:tc>
        <w:tc>
          <w:tcPr>
            <w:tcW w:w="0" w:type="auto"/>
            <w:tcBorders>
              <w:left w:val="nil"/>
              <w:right w:val="nil"/>
            </w:tcBorders>
          </w:tcPr>
          <w:p w:rsidR="00D32A8F" w:rsidRDefault="007A576E" w:rsidP="002D6746">
            <w:r>
              <w:rPr>
                <w:iCs/>
              </w:rPr>
              <w:t>P</w:t>
            </w:r>
            <w:r w:rsidRPr="00F32DC7">
              <w:rPr>
                <w:iCs/>
              </w:rPr>
              <w:t xml:space="preserve">ercentage of shelter rehabilitation programmes </w:t>
            </w:r>
            <w:r>
              <w:rPr>
                <w:iCs/>
              </w:rPr>
              <w:t xml:space="preserve">of partners </w:t>
            </w:r>
            <w:r w:rsidRPr="00F32DC7">
              <w:rPr>
                <w:iCs/>
              </w:rPr>
              <w:t xml:space="preserve">contributing to </w:t>
            </w:r>
            <w:r w:rsidRPr="00F32DC7">
              <w:t>disaster-resilient</w:t>
            </w:r>
            <w:r w:rsidRPr="00F32DC7">
              <w:rPr>
                <w:iCs/>
              </w:rPr>
              <w:t xml:space="preserve"> permanent housing</w:t>
            </w:r>
          </w:p>
          <w:p w:rsidR="00D32A8F" w:rsidRDefault="00D32A8F" w:rsidP="002639F4">
            <w:pPr>
              <w:pStyle w:val="ListParagraph"/>
              <w:ind w:left="360"/>
            </w:pPr>
          </w:p>
          <w:p w:rsidR="00D32A8F" w:rsidRDefault="007A576E" w:rsidP="002D6746">
            <w:r>
              <w:rPr>
                <w:iCs/>
              </w:rPr>
              <w:t>P</w:t>
            </w:r>
            <w:r w:rsidRPr="00F32DC7">
              <w:rPr>
                <w:iCs/>
              </w:rPr>
              <w:t xml:space="preserve">ercentage of shelter rehabilitation programmes </w:t>
            </w:r>
            <w:r>
              <w:rPr>
                <w:iCs/>
              </w:rPr>
              <w:t xml:space="preserve">of UN-Habitat </w:t>
            </w:r>
            <w:r w:rsidRPr="00F32DC7">
              <w:rPr>
                <w:iCs/>
              </w:rPr>
              <w:t xml:space="preserve">contributing to </w:t>
            </w:r>
            <w:r w:rsidRPr="00F32DC7">
              <w:t>disaster-resilient</w:t>
            </w:r>
            <w:r w:rsidRPr="00F32DC7">
              <w:rPr>
                <w:iCs/>
              </w:rPr>
              <w:t xml:space="preserve"> permanent housing</w:t>
            </w:r>
          </w:p>
          <w:p w:rsidR="00D32A8F" w:rsidRDefault="00D32A8F" w:rsidP="002639F4">
            <w:pPr>
              <w:pStyle w:val="ListParagraph"/>
              <w:ind w:left="360"/>
            </w:pPr>
          </w:p>
        </w:tc>
      </w:tr>
      <w:tr w:rsidR="00D32A8F" w:rsidTr="002639F4">
        <w:tc>
          <w:tcPr>
            <w:tcW w:w="0" w:type="auto"/>
            <w:tcBorders>
              <w:left w:val="nil"/>
              <w:right w:val="nil"/>
            </w:tcBorders>
          </w:tcPr>
          <w:p w:rsidR="00D32A8F" w:rsidRPr="00C152EA" w:rsidRDefault="00D32A8F" w:rsidP="002639F4">
            <w:pPr>
              <w:rPr>
                <w:b/>
              </w:rPr>
            </w:pPr>
            <w:r w:rsidRPr="00C152EA">
              <w:rPr>
                <w:b/>
              </w:rPr>
              <w:t>Sub Expected Accomplishment</w:t>
            </w:r>
          </w:p>
        </w:tc>
        <w:tc>
          <w:tcPr>
            <w:tcW w:w="0" w:type="auto"/>
            <w:tcBorders>
              <w:left w:val="nil"/>
              <w:right w:val="nil"/>
            </w:tcBorders>
          </w:tcPr>
          <w:p w:rsidR="00D32A8F" w:rsidRDefault="00D32A8F" w:rsidP="002639F4"/>
        </w:tc>
        <w:tc>
          <w:tcPr>
            <w:tcW w:w="0" w:type="auto"/>
            <w:tcBorders>
              <w:left w:val="nil"/>
              <w:right w:val="nil"/>
            </w:tcBorders>
          </w:tcPr>
          <w:p w:rsidR="00D32A8F" w:rsidRDefault="00D32A8F" w:rsidP="002639F4"/>
        </w:tc>
        <w:tc>
          <w:tcPr>
            <w:tcW w:w="0" w:type="auto"/>
            <w:tcBorders>
              <w:left w:val="nil"/>
              <w:right w:val="nil"/>
            </w:tcBorders>
          </w:tcPr>
          <w:p w:rsidR="00D32A8F" w:rsidRDefault="00D32A8F" w:rsidP="002639F4"/>
        </w:tc>
      </w:tr>
      <w:tr w:rsidR="00D32A8F" w:rsidTr="002639F4">
        <w:tc>
          <w:tcPr>
            <w:tcW w:w="0" w:type="auto"/>
            <w:tcBorders>
              <w:left w:val="nil"/>
              <w:right w:val="nil"/>
            </w:tcBorders>
          </w:tcPr>
          <w:p w:rsidR="00D32A8F" w:rsidRPr="00A966D1" w:rsidRDefault="00D32A8F" w:rsidP="002639F4">
            <w:pPr>
              <w:rPr>
                <w:b/>
              </w:rPr>
            </w:pPr>
            <w:r w:rsidRPr="00A966D1">
              <w:rPr>
                <w:b/>
              </w:rPr>
              <w:t>Indicators</w:t>
            </w:r>
          </w:p>
        </w:tc>
        <w:tc>
          <w:tcPr>
            <w:tcW w:w="0" w:type="auto"/>
            <w:tcBorders>
              <w:left w:val="nil"/>
              <w:right w:val="nil"/>
            </w:tcBorders>
          </w:tcPr>
          <w:p w:rsidR="00D32A8F" w:rsidRDefault="00D32A8F" w:rsidP="002639F4"/>
        </w:tc>
        <w:tc>
          <w:tcPr>
            <w:tcW w:w="0" w:type="auto"/>
            <w:tcBorders>
              <w:left w:val="nil"/>
              <w:right w:val="nil"/>
            </w:tcBorders>
          </w:tcPr>
          <w:p w:rsidR="00D32A8F" w:rsidRDefault="00D32A8F" w:rsidP="002639F4"/>
        </w:tc>
        <w:tc>
          <w:tcPr>
            <w:tcW w:w="0" w:type="auto"/>
            <w:tcBorders>
              <w:left w:val="nil"/>
              <w:right w:val="nil"/>
            </w:tcBorders>
          </w:tcPr>
          <w:p w:rsidR="00D32A8F" w:rsidRDefault="00D32A8F" w:rsidP="002639F4"/>
        </w:tc>
      </w:tr>
    </w:tbl>
    <w:p w:rsidR="00F00949" w:rsidRDefault="00F00949" w:rsidP="002D34FE">
      <w:pPr>
        <w:rPr>
          <w:b/>
          <w:sz w:val="32"/>
        </w:rPr>
      </w:pPr>
    </w:p>
    <w:p w:rsidR="00F00949" w:rsidRDefault="00F00949">
      <w:pPr>
        <w:rPr>
          <w:b/>
          <w:sz w:val="32"/>
        </w:rPr>
      </w:pPr>
      <w:r>
        <w:rPr>
          <w:b/>
          <w:sz w:val="32"/>
        </w:rPr>
        <w:br w:type="page"/>
      </w:r>
    </w:p>
    <w:p w:rsidR="002D34FE" w:rsidRDefault="002D34FE" w:rsidP="002D34FE">
      <w:pPr>
        <w:rPr>
          <w:b/>
          <w:sz w:val="32"/>
        </w:rPr>
      </w:pPr>
      <w:r w:rsidRPr="00953003">
        <w:rPr>
          <w:b/>
          <w:sz w:val="32"/>
        </w:rPr>
        <w:lastRenderedPageBreak/>
        <w:t xml:space="preserve">Focus Area 7: Research and Capacity Development </w:t>
      </w:r>
    </w:p>
    <w:tbl>
      <w:tblPr>
        <w:tblStyle w:val="TableGrid"/>
        <w:tblW w:w="0" w:type="auto"/>
        <w:tblLook w:val="04A0" w:firstRow="1" w:lastRow="0" w:firstColumn="1" w:lastColumn="0" w:noHBand="0" w:noVBand="1"/>
      </w:tblPr>
      <w:tblGrid>
        <w:gridCol w:w="2102"/>
        <w:gridCol w:w="3404"/>
        <w:gridCol w:w="4647"/>
        <w:gridCol w:w="5461"/>
      </w:tblGrid>
      <w:tr w:rsidR="002D34FE" w:rsidTr="00F91A1E">
        <w:tc>
          <w:tcPr>
            <w:tcW w:w="0" w:type="auto"/>
            <w:tcBorders>
              <w:left w:val="nil"/>
              <w:right w:val="nil"/>
            </w:tcBorders>
          </w:tcPr>
          <w:p w:rsidR="002D34FE" w:rsidRPr="00C152EA" w:rsidRDefault="002D34FE" w:rsidP="00F91A1E">
            <w:pPr>
              <w:rPr>
                <w:b/>
              </w:rPr>
            </w:pPr>
            <w:r w:rsidRPr="00C152EA">
              <w:rPr>
                <w:b/>
              </w:rPr>
              <w:t>Strategic Result</w:t>
            </w:r>
          </w:p>
        </w:tc>
        <w:tc>
          <w:tcPr>
            <w:tcW w:w="0" w:type="auto"/>
            <w:gridSpan w:val="3"/>
            <w:tcBorders>
              <w:left w:val="nil"/>
              <w:right w:val="nil"/>
            </w:tcBorders>
          </w:tcPr>
          <w:p w:rsidR="002D34FE" w:rsidRPr="00BF59FA" w:rsidRDefault="002D34FE" w:rsidP="00F91A1E">
            <w:pPr>
              <w:rPr>
                <w:rFonts w:ascii="Calibri" w:hAnsi="Calibri"/>
              </w:rPr>
            </w:pPr>
            <w:r w:rsidRPr="00BF59FA">
              <w:rPr>
                <w:rFonts w:ascii="Calibri" w:hAnsi="Calibri"/>
              </w:rPr>
              <w:t xml:space="preserve">Key actors at local, national  and global levels acquire increased  knowledge on sustainable </w:t>
            </w:r>
            <w:proofErr w:type="spellStart"/>
            <w:r w:rsidRPr="00BF59FA">
              <w:rPr>
                <w:rFonts w:ascii="Calibri" w:hAnsi="Calibri"/>
              </w:rPr>
              <w:t>urbanisation</w:t>
            </w:r>
            <w:proofErr w:type="spellEnd"/>
            <w:r w:rsidRPr="00BF59FA">
              <w:rPr>
                <w:rFonts w:ascii="Calibri" w:hAnsi="Calibri"/>
              </w:rPr>
              <w:t xml:space="preserve"> issues and enhanced capacity for monitoring urban conditions as well as for formulation and implementation of evidence-based policies and programmes</w:t>
            </w:r>
          </w:p>
        </w:tc>
      </w:tr>
      <w:tr w:rsidR="002D34FE" w:rsidTr="00F91A1E">
        <w:tc>
          <w:tcPr>
            <w:tcW w:w="0" w:type="auto"/>
            <w:tcBorders>
              <w:left w:val="nil"/>
              <w:right w:val="nil"/>
            </w:tcBorders>
          </w:tcPr>
          <w:p w:rsidR="002D34FE" w:rsidRPr="00C152EA" w:rsidRDefault="002D34FE" w:rsidP="00F91A1E">
            <w:pPr>
              <w:rPr>
                <w:u w:val="single"/>
              </w:rPr>
            </w:pPr>
            <w:r w:rsidRPr="00C152EA">
              <w:rPr>
                <w:u w:val="single"/>
              </w:rPr>
              <w:t>Indicator</w:t>
            </w:r>
          </w:p>
        </w:tc>
        <w:tc>
          <w:tcPr>
            <w:tcW w:w="0" w:type="auto"/>
            <w:gridSpan w:val="3"/>
            <w:tcBorders>
              <w:left w:val="nil"/>
              <w:right w:val="nil"/>
            </w:tcBorders>
          </w:tcPr>
          <w:p w:rsidR="002D34FE" w:rsidRPr="00B2460C" w:rsidRDefault="002D34FE" w:rsidP="00F91A1E">
            <w:r>
              <w:rPr>
                <w:rFonts w:eastAsia="SimSun"/>
                <w:color w:val="000000"/>
              </w:rPr>
              <w:t>Number of partner city, regional and national authorities and other partners that have the capacity to formulate and implement evidence based urban policies and programmes</w:t>
            </w:r>
          </w:p>
        </w:tc>
      </w:tr>
      <w:tr w:rsidR="00F91A1E" w:rsidTr="00F91A1E">
        <w:tc>
          <w:tcPr>
            <w:tcW w:w="0" w:type="auto"/>
            <w:tcBorders>
              <w:left w:val="nil"/>
              <w:right w:val="nil"/>
            </w:tcBorders>
          </w:tcPr>
          <w:p w:rsidR="002D34FE" w:rsidRPr="00C152EA" w:rsidRDefault="002D34FE" w:rsidP="00F91A1E">
            <w:pPr>
              <w:rPr>
                <w:b/>
              </w:rPr>
            </w:pPr>
            <w:r w:rsidRPr="00C152EA">
              <w:rPr>
                <w:b/>
              </w:rPr>
              <w:t>Expected Accomplishment</w:t>
            </w:r>
          </w:p>
        </w:tc>
        <w:tc>
          <w:tcPr>
            <w:tcW w:w="0" w:type="auto"/>
            <w:tcBorders>
              <w:left w:val="nil"/>
              <w:right w:val="nil"/>
            </w:tcBorders>
          </w:tcPr>
          <w:p w:rsidR="002D34FE" w:rsidRPr="00F91A1E" w:rsidRDefault="002D34FE" w:rsidP="00F91A1E">
            <w:pPr>
              <w:rPr>
                <w:rFonts w:eastAsia="SimSun"/>
                <w:color w:val="000000"/>
              </w:rPr>
            </w:pPr>
            <w:r w:rsidRPr="00F91A1E">
              <w:rPr>
                <w:rFonts w:eastAsia="SimSun"/>
                <w:color w:val="000000"/>
              </w:rPr>
              <w:t>Improved monitoring of urban conditions and trends</w:t>
            </w:r>
          </w:p>
          <w:p w:rsidR="002D34FE" w:rsidRPr="002F2C48" w:rsidRDefault="002D34FE" w:rsidP="00F91A1E">
            <w:pPr>
              <w:rPr>
                <w:rFonts w:eastAsia="SimSun"/>
                <w:color w:val="000000"/>
              </w:rPr>
            </w:pPr>
          </w:p>
        </w:tc>
        <w:tc>
          <w:tcPr>
            <w:tcW w:w="0" w:type="auto"/>
            <w:tcBorders>
              <w:left w:val="nil"/>
              <w:right w:val="nil"/>
            </w:tcBorders>
          </w:tcPr>
          <w:p w:rsidR="002D34FE" w:rsidRPr="00F91A1E" w:rsidRDefault="002D34FE" w:rsidP="00F91A1E">
            <w:pPr>
              <w:rPr>
                <w:rFonts w:eastAsia="SimSun"/>
                <w:color w:val="000000"/>
              </w:rPr>
            </w:pPr>
            <w:r w:rsidRPr="00F91A1E">
              <w:rPr>
                <w:rFonts w:eastAsia="SimSun"/>
                <w:color w:val="000000"/>
              </w:rPr>
              <w:t xml:space="preserve">Improved knowledge on sustainable </w:t>
            </w:r>
            <w:proofErr w:type="spellStart"/>
            <w:r w:rsidRPr="00F91A1E">
              <w:rPr>
                <w:rFonts w:eastAsia="SimSun"/>
                <w:color w:val="000000"/>
              </w:rPr>
              <w:t>urbanisation</w:t>
            </w:r>
            <w:proofErr w:type="spellEnd"/>
            <w:r w:rsidRPr="00F91A1E">
              <w:rPr>
                <w:rFonts w:eastAsia="SimSun"/>
                <w:color w:val="000000"/>
              </w:rPr>
              <w:t xml:space="preserve"> issues at local, national and global levels</w:t>
            </w:r>
          </w:p>
        </w:tc>
        <w:tc>
          <w:tcPr>
            <w:tcW w:w="0" w:type="auto"/>
            <w:tcBorders>
              <w:left w:val="nil"/>
              <w:right w:val="nil"/>
            </w:tcBorders>
          </w:tcPr>
          <w:p w:rsidR="002D34FE" w:rsidRPr="00D32A8F" w:rsidRDefault="00F00949" w:rsidP="00D32A8F">
            <w:pPr>
              <w:rPr>
                <w:rFonts w:eastAsia="SimSun"/>
                <w:color w:val="000000"/>
              </w:rPr>
            </w:pPr>
            <w:r w:rsidRPr="00F32DC7">
              <w:rPr>
                <w:bCs/>
              </w:rPr>
              <w:t>I</w:t>
            </w:r>
            <w:r>
              <w:rPr>
                <w:bCs/>
              </w:rPr>
              <w:t>mproved</w:t>
            </w:r>
            <w:r w:rsidRPr="00F32DC7">
              <w:rPr>
                <w:bCs/>
              </w:rPr>
              <w:t xml:space="preserve"> capacities of national and local authorities and partners to formulate and implement informed policies and programmes</w:t>
            </w:r>
          </w:p>
        </w:tc>
      </w:tr>
      <w:tr w:rsidR="00F91A1E" w:rsidTr="00F91A1E">
        <w:trPr>
          <w:trHeight w:val="1016"/>
        </w:trPr>
        <w:tc>
          <w:tcPr>
            <w:tcW w:w="0" w:type="auto"/>
            <w:tcBorders>
              <w:left w:val="nil"/>
              <w:right w:val="nil"/>
            </w:tcBorders>
          </w:tcPr>
          <w:p w:rsidR="002D34FE" w:rsidRPr="00C152EA" w:rsidRDefault="002D34FE" w:rsidP="00F91A1E">
            <w:pPr>
              <w:rPr>
                <w:u w:val="single"/>
              </w:rPr>
            </w:pPr>
            <w:r>
              <w:rPr>
                <w:u w:val="single"/>
              </w:rPr>
              <w:t>Indicator</w:t>
            </w:r>
          </w:p>
        </w:tc>
        <w:tc>
          <w:tcPr>
            <w:tcW w:w="0" w:type="auto"/>
            <w:tcBorders>
              <w:left w:val="nil"/>
              <w:right w:val="nil"/>
            </w:tcBorders>
          </w:tcPr>
          <w:p w:rsidR="002D34FE" w:rsidRPr="00F91A1E" w:rsidRDefault="002D34FE" w:rsidP="00F91A1E">
            <w:pPr>
              <w:rPr>
                <w:rFonts w:eastAsia="SimSun"/>
                <w:color w:val="000000"/>
              </w:rPr>
            </w:pPr>
            <w:r w:rsidRPr="00F91A1E">
              <w:rPr>
                <w:rFonts w:eastAsia="SimSun"/>
                <w:color w:val="000000"/>
              </w:rPr>
              <w:t>Number of urban observatories using UN-Habitat monitoring tools, methods and data</w:t>
            </w:r>
          </w:p>
          <w:p w:rsidR="00F91A1E" w:rsidRDefault="00F91A1E" w:rsidP="00F91A1E">
            <w:pPr>
              <w:rPr>
                <w:rFonts w:eastAsia="SimSun"/>
                <w:color w:val="000000"/>
              </w:rPr>
            </w:pPr>
          </w:p>
          <w:p w:rsidR="002D34FE" w:rsidRPr="00F91A1E" w:rsidRDefault="00F00949" w:rsidP="00F91A1E">
            <w:pPr>
              <w:rPr>
                <w:rFonts w:eastAsia="SimSun"/>
                <w:color w:val="000000"/>
              </w:rPr>
            </w:pPr>
            <w:r>
              <w:rPr>
                <w:iCs/>
              </w:rPr>
              <w:t>N</w:t>
            </w:r>
            <w:r w:rsidRPr="00F32DC7">
              <w:rPr>
                <w:iCs/>
              </w:rPr>
              <w:t xml:space="preserve">umber of </w:t>
            </w:r>
            <w:r>
              <w:rPr>
                <w:iCs/>
              </w:rPr>
              <w:t xml:space="preserve">partner </w:t>
            </w:r>
            <w:r w:rsidRPr="00F32DC7">
              <w:rPr>
                <w:iCs/>
              </w:rPr>
              <w:t>national statistical offices producing urban data and indicators</w:t>
            </w:r>
          </w:p>
        </w:tc>
        <w:tc>
          <w:tcPr>
            <w:tcW w:w="0" w:type="auto"/>
            <w:tcBorders>
              <w:left w:val="nil"/>
              <w:right w:val="nil"/>
            </w:tcBorders>
          </w:tcPr>
          <w:p w:rsidR="002D34FE" w:rsidRPr="00F91A1E" w:rsidRDefault="00F00949" w:rsidP="00F91A1E">
            <w:pPr>
              <w:rPr>
                <w:rFonts w:eastAsia="SimSun"/>
                <w:color w:val="000000"/>
              </w:rPr>
            </w:pPr>
            <w:r>
              <w:t xml:space="preserve">Number </w:t>
            </w:r>
            <w:r w:rsidRPr="00F32DC7">
              <w:t>of local and national governments that have used UN-Habitat flagship publications</w:t>
            </w:r>
            <w:r>
              <w:t xml:space="preserve"> and </w:t>
            </w:r>
            <w:r w:rsidRPr="00F32DC7">
              <w:t>best practices database</w:t>
            </w:r>
            <w:r>
              <w:t xml:space="preserve"> for policy formulation</w:t>
            </w:r>
            <w:r w:rsidR="002D34FE" w:rsidRPr="00F91A1E">
              <w:rPr>
                <w:rFonts w:eastAsia="SimSun"/>
                <w:color w:val="000000"/>
              </w:rPr>
              <w:t xml:space="preserve">  </w:t>
            </w:r>
          </w:p>
          <w:p w:rsidR="002D34FE" w:rsidRPr="001F6BEC" w:rsidRDefault="002D34FE" w:rsidP="00F91A1E">
            <w:pPr>
              <w:rPr>
                <w:rFonts w:eastAsia="SimSun"/>
                <w:color w:val="000000"/>
              </w:rPr>
            </w:pPr>
          </w:p>
          <w:p w:rsidR="002D34FE" w:rsidRPr="00F91A1E" w:rsidRDefault="00F00949" w:rsidP="00F91A1E">
            <w:pPr>
              <w:rPr>
                <w:rFonts w:eastAsia="SimSun"/>
                <w:color w:val="000000"/>
              </w:rPr>
            </w:pPr>
            <w:r>
              <w:t>N</w:t>
            </w:r>
            <w:r w:rsidRPr="00F32DC7">
              <w:t xml:space="preserve">umber  of </w:t>
            </w:r>
            <w:r>
              <w:rPr>
                <w:iCs/>
              </w:rPr>
              <w:t>partner</w:t>
            </w:r>
            <w:r w:rsidRPr="00F32DC7">
              <w:t xml:space="preserve"> countries producing national cities reports to enhance local and national policy planning</w:t>
            </w:r>
          </w:p>
        </w:tc>
        <w:tc>
          <w:tcPr>
            <w:tcW w:w="0" w:type="auto"/>
            <w:tcBorders>
              <w:left w:val="nil"/>
              <w:right w:val="nil"/>
            </w:tcBorders>
          </w:tcPr>
          <w:p w:rsidR="002D34FE" w:rsidRDefault="00F00949" w:rsidP="00F91A1E">
            <w:pPr>
              <w:rPr>
                <w:rFonts w:eastAsia="SimSun"/>
                <w:color w:val="000000"/>
              </w:rPr>
            </w:pPr>
            <w:r>
              <w:t>N</w:t>
            </w:r>
            <w:r w:rsidRPr="00F32DC7">
              <w:t xml:space="preserve">umber </w:t>
            </w:r>
            <w:r w:rsidRPr="00F32DC7">
              <w:rPr>
                <w:iCs/>
              </w:rPr>
              <w:t xml:space="preserve">of </w:t>
            </w:r>
            <w:r>
              <w:rPr>
                <w:iCs/>
              </w:rPr>
              <w:t>partner</w:t>
            </w:r>
            <w:r w:rsidRPr="00F32DC7">
              <w:rPr>
                <w:iCs/>
              </w:rPr>
              <w:t xml:space="preserve"> local and national authorities that </w:t>
            </w:r>
            <w:r>
              <w:rPr>
                <w:iCs/>
              </w:rPr>
              <w:t xml:space="preserve">have improved capacity </w:t>
            </w:r>
            <w:r w:rsidRPr="00F32DC7">
              <w:rPr>
                <w:iCs/>
              </w:rPr>
              <w:t xml:space="preserve">to formulate </w:t>
            </w:r>
            <w:r>
              <w:rPr>
                <w:iCs/>
              </w:rPr>
              <w:t xml:space="preserve">informed </w:t>
            </w:r>
            <w:r w:rsidRPr="00F32DC7">
              <w:rPr>
                <w:iCs/>
              </w:rPr>
              <w:t>policies and programmes</w:t>
            </w:r>
            <w:r w:rsidR="007A576E">
              <w:rPr>
                <w:iCs/>
              </w:rPr>
              <w:t>.</w:t>
            </w:r>
          </w:p>
          <w:p w:rsidR="00F00949" w:rsidRDefault="00F00949" w:rsidP="00F91A1E">
            <w:pPr>
              <w:rPr>
                <w:rFonts w:eastAsia="SimSun"/>
                <w:color w:val="000000"/>
              </w:rPr>
            </w:pPr>
          </w:p>
          <w:p w:rsidR="00F00949" w:rsidRPr="00F91A1E" w:rsidRDefault="00F00949" w:rsidP="00F91A1E">
            <w:pPr>
              <w:rPr>
                <w:rFonts w:eastAsia="SimSun"/>
                <w:color w:val="000000"/>
              </w:rPr>
            </w:pPr>
            <w:r w:rsidRPr="00F32DC7">
              <w:rPr>
                <w:iCs/>
              </w:rPr>
              <w:t>Increase in the number of policies and programmes utilizing evidence-based information</w:t>
            </w:r>
          </w:p>
        </w:tc>
      </w:tr>
      <w:tr w:rsidR="00F91A1E" w:rsidTr="00F91A1E">
        <w:tc>
          <w:tcPr>
            <w:tcW w:w="0" w:type="auto"/>
            <w:tcBorders>
              <w:left w:val="nil"/>
              <w:right w:val="nil"/>
            </w:tcBorders>
          </w:tcPr>
          <w:p w:rsidR="002D34FE" w:rsidRPr="00C152EA" w:rsidRDefault="002D34FE" w:rsidP="00F91A1E">
            <w:pPr>
              <w:rPr>
                <w:b/>
              </w:rPr>
            </w:pPr>
            <w:r>
              <w:rPr>
                <w:b/>
              </w:rPr>
              <w:t>Sub Expected Accomplishment</w:t>
            </w:r>
          </w:p>
        </w:tc>
        <w:tc>
          <w:tcPr>
            <w:tcW w:w="0" w:type="auto"/>
            <w:tcBorders>
              <w:left w:val="nil"/>
              <w:right w:val="nil"/>
            </w:tcBorders>
          </w:tcPr>
          <w:p w:rsidR="002D34FE" w:rsidRPr="00B2460C" w:rsidRDefault="002D34FE" w:rsidP="00F91A1E">
            <w:r>
              <w:t>Increased capacity for implementation of urban monitoring systems</w:t>
            </w:r>
          </w:p>
        </w:tc>
        <w:tc>
          <w:tcPr>
            <w:tcW w:w="0" w:type="auto"/>
            <w:tcBorders>
              <w:left w:val="nil"/>
              <w:right w:val="nil"/>
            </w:tcBorders>
          </w:tcPr>
          <w:p w:rsidR="002D34FE" w:rsidRDefault="002D34FE" w:rsidP="00F91A1E">
            <w:r>
              <w:t xml:space="preserve">Increased dissemination and awareness of knowledge on sustainable </w:t>
            </w:r>
            <w:proofErr w:type="spellStart"/>
            <w:r>
              <w:t>urbanisation</w:t>
            </w:r>
            <w:proofErr w:type="spellEnd"/>
            <w:r>
              <w:t xml:space="preserve"> issues </w:t>
            </w:r>
          </w:p>
          <w:p w:rsidR="002D34FE" w:rsidRPr="00B2460C" w:rsidRDefault="002D34FE" w:rsidP="00F91A1E">
            <w:pPr>
              <w:pStyle w:val="ListParagraph"/>
            </w:pPr>
          </w:p>
        </w:tc>
        <w:tc>
          <w:tcPr>
            <w:tcW w:w="0" w:type="auto"/>
            <w:tcBorders>
              <w:left w:val="nil"/>
              <w:right w:val="nil"/>
            </w:tcBorders>
          </w:tcPr>
          <w:p w:rsidR="002D34FE" w:rsidRDefault="002D34FE" w:rsidP="00F91A1E">
            <w:r>
              <w:t xml:space="preserve">Improved capacity of institutions that strengthen the capacity of national and local authorities and partners </w:t>
            </w:r>
          </w:p>
          <w:p w:rsidR="002D34FE" w:rsidRPr="00B2460C" w:rsidRDefault="002D34FE" w:rsidP="00F91A1E">
            <w:pPr>
              <w:pStyle w:val="ListParagraph"/>
              <w:ind w:left="360"/>
            </w:pPr>
          </w:p>
        </w:tc>
      </w:tr>
      <w:tr w:rsidR="00F91A1E" w:rsidTr="00F91A1E">
        <w:tc>
          <w:tcPr>
            <w:tcW w:w="0" w:type="auto"/>
            <w:tcBorders>
              <w:left w:val="nil"/>
              <w:right w:val="nil"/>
            </w:tcBorders>
          </w:tcPr>
          <w:p w:rsidR="002D34FE" w:rsidRPr="00CA221C" w:rsidRDefault="002D34FE" w:rsidP="00F91A1E">
            <w:pPr>
              <w:rPr>
                <w:u w:val="single"/>
              </w:rPr>
            </w:pPr>
            <w:r>
              <w:rPr>
                <w:u w:val="single"/>
              </w:rPr>
              <w:t xml:space="preserve">Indicator </w:t>
            </w:r>
          </w:p>
        </w:tc>
        <w:tc>
          <w:tcPr>
            <w:tcW w:w="0" w:type="auto"/>
            <w:tcBorders>
              <w:left w:val="nil"/>
              <w:right w:val="nil"/>
            </w:tcBorders>
          </w:tcPr>
          <w:p w:rsidR="002D34FE" w:rsidRDefault="002D34FE" w:rsidP="00F91A1E">
            <w:r>
              <w:t xml:space="preserve">Number of partners (individual or institutional) supporting and using the observatories </w:t>
            </w:r>
          </w:p>
          <w:p w:rsidR="002D34FE" w:rsidRDefault="002D34FE" w:rsidP="00F91A1E">
            <w:pPr>
              <w:pStyle w:val="ListParagraph"/>
              <w:ind w:left="449"/>
            </w:pPr>
          </w:p>
        </w:tc>
        <w:tc>
          <w:tcPr>
            <w:tcW w:w="0" w:type="auto"/>
            <w:tcBorders>
              <w:left w:val="nil"/>
              <w:right w:val="nil"/>
            </w:tcBorders>
          </w:tcPr>
          <w:p w:rsidR="002D34FE" w:rsidRDefault="002D34FE" w:rsidP="00F91A1E">
            <w:r>
              <w:t>Number of flagship publication downloads from the UN Habitat website disaggregated into profile and purpose of users and use</w:t>
            </w:r>
          </w:p>
          <w:p w:rsidR="00F91A1E" w:rsidRDefault="00F91A1E" w:rsidP="00F91A1E"/>
          <w:p w:rsidR="002D34FE" w:rsidRDefault="002D34FE" w:rsidP="00F91A1E">
            <w:r>
              <w:t>Number of media articles and citations on global regional and national reports</w:t>
            </w:r>
          </w:p>
          <w:p w:rsidR="00F91A1E" w:rsidRDefault="00F91A1E" w:rsidP="00F91A1E"/>
          <w:p w:rsidR="002D34FE" w:rsidRDefault="002D34FE" w:rsidP="00D32A8F">
            <w:r>
              <w:t>Number of hits on the best practices database</w:t>
            </w:r>
          </w:p>
        </w:tc>
        <w:tc>
          <w:tcPr>
            <w:tcW w:w="0" w:type="auto"/>
            <w:tcBorders>
              <w:left w:val="nil"/>
              <w:right w:val="nil"/>
            </w:tcBorders>
          </w:tcPr>
          <w:p w:rsidR="002D34FE" w:rsidRDefault="002D34FE" w:rsidP="00F91A1E">
            <w:r w:rsidRPr="00785936">
              <w:t>Number of institutions that are using UN-Habitat’s training and capacity development tools and guidelines to strengthen capacities of national and local authorities and partners</w:t>
            </w:r>
          </w:p>
        </w:tc>
      </w:tr>
    </w:tbl>
    <w:p w:rsidR="00CE3A66" w:rsidRDefault="00CE3A66" w:rsidP="00D32A8F"/>
    <w:sectPr w:rsidR="00CE3A66" w:rsidSect="009725D4">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FE" w:rsidRDefault="006038FE" w:rsidP="00BD46E9">
      <w:pPr>
        <w:spacing w:after="0" w:line="240" w:lineRule="auto"/>
      </w:pPr>
      <w:r>
        <w:separator/>
      </w:r>
    </w:p>
  </w:endnote>
  <w:endnote w:type="continuationSeparator" w:id="0">
    <w:p w:rsidR="006038FE" w:rsidRDefault="006038FE" w:rsidP="00BD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FE" w:rsidRDefault="006038FE" w:rsidP="00BD46E9">
      <w:pPr>
        <w:spacing w:after="0" w:line="240" w:lineRule="auto"/>
      </w:pPr>
      <w:r>
        <w:separator/>
      </w:r>
    </w:p>
  </w:footnote>
  <w:footnote w:type="continuationSeparator" w:id="0">
    <w:p w:rsidR="006038FE" w:rsidRDefault="006038FE" w:rsidP="00BD4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D2"/>
    <w:multiLevelType w:val="hybridMultilevel"/>
    <w:tmpl w:val="1D72FD02"/>
    <w:lvl w:ilvl="0" w:tplc="3C34FC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B2F75"/>
    <w:multiLevelType w:val="hybridMultilevel"/>
    <w:tmpl w:val="89EEDC1A"/>
    <w:lvl w:ilvl="0" w:tplc="4EC09B7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53588"/>
    <w:multiLevelType w:val="hybridMultilevel"/>
    <w:tmpl w:val="06123F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A82D14"/>
    <w:multiLevelType w:val="multilevel"/>
    <w:tmpl w:val="07C450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6D20BC"/>
    <w:multiLevelType w:val="multilevel"/>
    <w:tmpl w:val="1FFC7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6F4853"/>
    <w:multiLevelType w:val="hybridMultilevel"/>
    <w:tmpl w:val="DAE4E408"/>
    <w:lvl w:ilvl="0" w:tplc="113202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233B5C"/>
    <w:multiLevelType w:val="multilevel"/>
    <w:tmpl w:val="D2F47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913A74"/>
    <w:multiLevelType w:val="hybridMultilevel"/>
    <w:tmpl w:val="8144A21E"/>
    <w:lvl w:ilvl="0" w:tplc="A4A4D20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964BEC"/>
    <w:multiLevelType w:val="hybridMultilevel"/>
    <w:tmpl w:val="E5A8DC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A27896"/>
    <w:multiLevelType w:val="hybridMultilevel"/>
    <w:tmpl w:val="66FEAF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0042D38"/>
    <w:multiLevelType w:val="hybridMultilevel"/>
    <w:tmpl w:val="FC8E89FC"/>
    <w:lvl w:ilvl="0" w:tplc="A3DCA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70F3E"/>
    <w:multiLevelType w:val="multilevel"/>
    <w:tmpl w:val="E120081A"/>
    <w:lvl w:ilvl="0">
      <w:start w:val="1"/>
      <w:numFmt w:val="decimal"/>
      <w:lvlText w:val="%1"/>
      <w:lvlJc w:val="left"/>
      <w:pPr>
        <w:ind w:left="360" w:hanging="360"/>
      </w:pPr>
      <w:rPr>
        <w:rFonts w:hint="default"/>
      </w:rPr>
    </w:lvl>
    <w:lvl w:ilvl="1">
      <w:start w:val="1"/>
      <w:numFmt w:val="decimal"/>
      <w:isLgl/>
      <w:lvlText w:val="%1.%2"/>
      <w:lvlJc w:val="left"/>
      <w:pPr>
        <w:ind w:left="702"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176" w:hanging="1440"/>
      </w:pPr>
      <w:rPr>
        <w:rFonts w:hint="default"/>
      </w:rPr>
    </w:lvl>
  </w:abstractNum>
  <w:abstractNum w:abstractNumId="12">
    <w:nsid w:val="15133E79"/>
    <w:multiLevelType w:val="hybridMultilevel"/>
    <w:tmpl w:val="E4621A6C"/>
    <w:lvl w:ilvl="0" w:tplc="F31E882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2865E7"/>
    <w:multiLevelType w:val="hybridMultilevel"/>
    <w:tmpl w:val="58AC21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5300D2"/>
    <w:multiLevelType w:val="hybridMultilevel"/>
    <w:tmpl w:val="49C430E2"/>
    <w:lvl w:ilvl="0" w:tplc="51D4CA0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5718BB"/>
    <w:multiLevelType w:val="hybridMultilevel"/>
    <w:tmpl w:val="F038568C"/>
    <w:lvl w:ilvl="0" w:tplc="3A92494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5663CB"/>
    <w:multiLevelType w:val="hybridMultilevel"/>
    <w:tmpl w:val="6CC896F0"/>
    <w:lvl w:ilvl="0" w:tplc="7A74578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2B3CF4"/>
    <w:multiLevelType w:val="hybridMultilevel"/>
    <w:tmpl w:val="2EEA5246"/>
    <w:lvl w:ilvl="0" w:tplc="726641C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04688"/>
    <w:multiLevelType w:val="hybridMultilevel"/>
    <w:tmpl w:val="0E762E56"/>
    <w:lvl w:ilvl="0" w:tplc="8D161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BE14CB"/>
    <w:multiLevelType w:val="hybridMultilevel"/>
    <w:tmpl w:val="DAD8127A"/>
    <w:lvl w:ilvl="0" w:tplc="A3DCA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EE2F53"/>
    <w:multiLevelType w:val="hybridMultilevel"/>
    <w:tmpl w:val="862838EA"/>
    <w:lvl w:ilvl="0" w:tplc="FEAEFD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155622"/>
    <w:multiLevelType w:val="hybridMultilevel"/>
    <w:tmpl w:val="5F04757C"/>
    <w:lvl w:ilvl="0" w:tplc="DD06CE7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206389"/>
    <w:multiLevelType w:val="hybridMultilevel"/>
    <w:tmpl w:val="A3A0BB5E"/>
    <w:lvl w:ilvl="0" w:tplc="D6609C8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5A00DC"/>
    <w:multiLevelType w:val="multilevel"/>
    <w:tmpl w:val="4CBC5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6B1114D"/>
    <w:multiLevelType w:val="hybridMultilevel"/>
    <w:tmpl w:val="70A8379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7191E74"/>
    <w:multiLevelType w:val="hybridMultilevel"/>
    <w:tmpl w:val="0E2E4B5C"/>
    <w:lvl w:ilvl="0" w:tplc="08090019">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A9B3D27"/>
    <w:multiLevelType w:val="hybridMultilevel"/>
    <w:tmpl w:val="D59A30B6"/>
    <w:lvl w:ilvl="0" w:tplc="4C2E11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B8F4BFD"/>
    <w:multiLevelType w:val="hybridMultilevel"/>
    <w:tmpl w:val="DCD8F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A9349D"/>
    <w:multiLevelType w:val="hybridMultilevel"/>
    <w:tmpl w:val="578E47A4"/>
    <w:lvl w:ilvl="0" w:tplc="08090019">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2CC24D61"/>
    <w:multiLevelType w:val="hybridMultilevel"/>
    <w:tmpl w:val="AEC2B374"/>
    <w:lvl w:ilvl="0" w:tplc="D5909D4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ED443F"/>
    <w:multiLevelType w:val="hybridMultilevel"/>
    <w:tmpl w:val="EA9C1696"/>
    <w:lvl w:ilvl="0" w:tplc="EB6C21C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2B0AD4"/>
    <w:multiLevelType w:val="multilevel"/>
    <w:tmpl w:val="A16665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D37509E"/>
    <w:multiLevelType w:val="hybridMultilevel"/>
    <w:tmpl w:val="05166A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5E23B6"/>
    <w:multiLevelType w:val="multilevel"/>
    <w:tmpl w:val="5680F186"/>
    <w:lvl w:ilvl="0">
      <w:start w:val="2"/>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34">
    <w:nsid w:val="30847866"/>
    <w:multiLevelType w:val="hybridMultilevel"/>
    <w:tmpl w:val="78FCD5C0"/>
    <w:lvl w:ilvl="0" w:tplc="45BCB94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0BA1967"/>
    <w:multiLevelType w:val="hybridMultilevel"/>
    <w:tmpl w:val="67D27364"/>
    <w:lvl w:ilvl="0" w:tplc="3C34FC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BD53D0"/>
    <w:multiLevelType w:val="hybridMultilevel"/>
    <w:tmpl w:val="2DFEE2E2"/>
    <w:lvl w:ilvl="0" w:tplc="FE02614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5787720"/>
    <w:multiLevelType w:val="multilevel"/>
    <w:tmpl w:val="26FCF3A4"/>
    <w:lvl w:ilvl="0">
      <w:start w:val="1"/>
      <w:numFmt w:val="decimal"/>
      <w:lvlText w:val="%1"/>
      <w:lvlJc w:val="left"/>
      <w:pPr>
        <w:ind w:left="360" w:hanging="360"/>
      </w:pPr>
      <w:rPr>
        <w:rFonts w:hint="default"/>
      </w:rPr>
    </w:lvl>
    <w:lvl w:ilvl="1">
      <w:start w:val="1"/>
      <w:numFmt w:val="decimal"/>
      <w:isLgl/>
      <w:lvlText w:val="%1.%2"/>
      <w:lvlJc w:val="left"/>
      <w:pPr>
        <w:ind w:left="702"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176" w:hanging="1440"/>
      </w:pPr>
      <w:rPr>
        <w:rFonts w:hint="default"/>
      </w:rPr>
    </w:lvl>
  </w:abstractNum>
  <w:abstractNum w:abstractNumId="38">
    <w:nsid w:val="36E959F4"/>
    <w:multiLevelType w:val="hybridMultilevel"/>
    <w:tmpl w:val="B1B27650"/>
    <w:lvl w:ilvl="0" w:tplc="3C34FC22">
      <w:start w:val="1"/>
      <w:numFmt w:val="lowerRoman"/>
      <w:lvlText w:val="%1.)"/>
      <w:lvlJc w:val="righ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71A2EB3"/>
    <w:multiLevelType w:val="multilevel"/>
    <w:tmpl w:val="B044A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D87147E"/>
    <w:multiLevelType w:val="hybridMultilevel"/>
    <w:tmpl w:val="9DD21F16"/>
    <w:lvl w:ilvl="0" w:tplc="131C6260">
      <w:start w:val="1"/>
      <w:numFmt w:val="lowerLetter"/>
      <w:lvlText w:val="%1."/>
      <w:lvlJc w:val="left"/>
      <w:pPr>
        <w:ind w:left="5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1051D9E"/>
    <w:multiLevelType w:val="hybridMultilevel"/>
    <w:tmpl w:val="E2DE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D51800"/>
    <w:multiLevelType w:val="hybridMultilevel"/>
    <w:tmpl w:val="B66CE088"/>
    <w:lvl w:ilvl="0" w:tplc="4C2E11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49D797E"/>
    <w:multiLevelType w:val="hybridMultilevel"/>
    <w:tmpl w:val="7192566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A6E3102"/>
    <w:multiLevelType w:val="hybridMultilevel"/>
    <w:tmpl w:val="9C68B740"/>
    <w:lvl w:ilvl="0" w:tplc="9926EC4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A84731D"/>
    <w:multiLevelType w:val="hybridMultilevel"/>
    <w:tmpl w:val="DB7A8CF8"/>
    <w:lvl w:ilvl="0" w:tplc="B538B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D6968E8"/>
    <w:multiLevelType w:val="multilevel"/>
    <w:tmpl w:val="989A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38290B"/>
    <w:multiLevelType w:val="hybridMultilevel"/>
    <w:tmpl w:val="6DF266B6"/>
    <w:lvl w:ilvl="0" w:tplc="27F2B328">
      <w:start w:val="1"/>
      <w:numFmt w:val="lowerLetter"/>
      <w:lvlText w:val="%1."/>
      <w:lvlJc w:val="left"/>
      <w:pPr>
        <w:ind w:left="539" w:hanging="360"/>
      </w:pPr>
      <w:rPr>
        <w:rFonts w:hint="default"/>
      </w:rPr>
    </w:lvl>
    <w:lvl w:ilvl="1" w:tplc="08090019" w:tentative="1">
      <w:start w:val="1"/>
      <w:numFmt w:val="lowerLetter"/>
      <w:lvlText w:val="%2."/>
      <w:lvlJc w:val="left"/>
      <w:pPr>
        <w:ind w:left="1259" w:hanging="360"/>
      </w:pPr>
    </w:lvl>
    <w:lvl w:ilvl="2" w:tplc="0809001B" w:tentative="1">
      <w:start w:val="1"/>
      <w:numFmt w:val="lowerRoman"/>
      <w:lvlText w:val="%3."/>
      <w:lvlJc w:val="right"/>
      <w:pPr>
        <w:ind w:left="1979" w:hanging="180"/>
      </w:pPr>
    </w:lvl>
    <w:lvl w:ilvl="3" w:tplc="0809000F" w:tentative="1">
      <w:start w:val="1"/>
      <w:numFmt w:val="decimal"/>
      <w:lvlText w:val="%4."/>
      <w:lvlJc w:val="left"/>
      <w:pPr>
        <w:ind w:left="2699" w:hanging="360"/>
      </w:pPr>
    </w:lvl>
    <w:lvl w:ilvl="4" w:tplc="08090019" w:tentative="1">
      <w:start w:val="1"/>
      <w:numFmt w:val="lowerLetter"/>
      <w:lvlText w:val="%5."/>
      <w:lvlJc w:val="left"/>
      <w:pPr>
        <w:ind w:left="3419" w:hanging="360"/>
      </w:pPr>
    </w:lvl>
    <w:lvl w:ilvl="5" w:tplc="0809001B" w:tentative="1">
      <w:start w:val="1"/>
      <w:numFmt w:val="lowerRoman"/>
      <w:lvlText w:val="%6."/>
      <w:lvlJc w:val="right"/>
      <w:pPr>
        <w:ind w:left="4139" w:hanging="180"/>
      </w:pPr>
    </w:lvl>
    <w:lvl w:ilvl="6" w:tplc="0809000F" w:tentative="1">
      <w:start w:val="1"/>
      <w:numFmt w:val="decimal"/>
      <w:lvlText w:val="%7."/>
      <w:lvlJc w:val="left"/>
      <w:pPr>
        <w:ind w:left="4859" w:hanging="360"/>
      </w:pPr>
    </w:lvl>
    <w:lvl w:ilvl="7" w:tplc="08090019" w:tentative="1">
      <w:start w:val="1"/>
      <w:numFmt w:val="lowerLetter"/>
      <w:lvlText w:val="%8."/>
      <w:lvlJc w:val="left"/>
      <w:pPr>
        <w:ind w:left="5579" w:hanging="360"/>
      </w:pPr>
    </w:lvl>
    <w:lvl w:ilvl="8" w:tplc="0809001B" w:tentative="1">
      <w:start w:val="1"/>
      <w:numFmt w:val="lowerRoman"/>
      <w:lvlText w:val="%9."/>
      <w:lvlJc w:val="right"/>
      <w:pPr>
        <w:ind w:left="6299" w:hanging="180"/>
      </w:pPr>
    </w:lvl>
  </w:abstractNum>
  <w:abstractNum w:abstractNumId="48">
    <w:nsid w:val="50E64C9E"/>
    <w:multiLevelType w:val="hybridMultilevel"/>
    <w:tmpl w:val="0FE66F5A"/>
    <w:lvl w:ilvl="0" w:tplc="96640628">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EF7A33"/>
    <w:multiLevelType w:val="hybridMultilevel"/>
    <w:tmpl w:val="A476AB6E"/>
    <w:lvl w:ilvl="0" w:tplc="08090019">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50">
    <w:nsid w:val="52153344"/>
    <w:multiLevelType w:val="hybridMultilevel"/>
    <w:tmpl w:val="ACA266C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5AB48F5"/>
    <w:multiLevelType w:val="hybridMultilevel"/>
    <w:tmpl w:val="D332D334"/>
    <w:lvl w:ilvl="0" w:tplc="04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2">
    <w:nsid w:val="581C00C1"/>
    <w:multiLevelType w:val="hybridMultilevel"/>
    <w:tmpl w:val="25D60E3A"/>
    <w:lvl w:ilvl="0" w:tplc="4C2E1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84062E7"/>
    <w:multiLevelType w:val="multilevel"/>
    <w:tmpl w:val="F92A7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59166C11"/>
    <w:multiLevelType w:val="multilevel"/>
    <w:tmpl w:val="B2D4F5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5B1D37CE"/>
    <w:multiLevelType w:val="hybridMultilevel"/>
    <w:tmpl w:val="1C22858E"/>
    <w:lvl w:ilvl="0" w:tplc="19BC86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B4E16DD"/>
    <w:multiLevelType w:val="hybridMultilevel"/>
    <w:tmpl w:val="AA0AE480"/>
    <w:lvl w:ilvl="0" w:tplc="4C2E1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B5D57C2"/>
    <w:multiLevelType w:val="hybridMultilevel"/>
    <w:tmpl w:val="E8B856FC"/>
    <w:lvl w:ilvl="0" w:tplc="4E8E13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765C18"/>
    <w:multiLevelType w:val="hybridMultilevel"/>
    <w:tmpl w:val="7974D24C"/>
    <w:lvl w:ilvl="0" w:tplc="4C2E11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0CC2F4F"/>
    <w:multiLevelType w:val="multilevel"/>
    <w:tmpl w:val="33189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0F90458"/>
    <w:multiLevelType w:val="hybridMultilevel"/>
    <w:tmpl w:val="5CAC9AD2"/>
    <w:lvl w:ilvl="0" w:tplc="7876A20E">
      <w:start w:val="51"/>
      <w:numFmt w:val="decimal"/>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61">
    <w:nsid w:val="6A160A16"/>
    <w:multiLevelType w:val="multilevel"/>
    <w:tmpl w:val="64523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C3D2291"/>
    <w:multiLevelType w:val="hybridMultilevel"/>
    <w:tmpl w:val="843C6BA0"/>
    <w:lvl w:ilvl="0" w:tplc="3C34FC22">
      <w:start w:val="1"/>
      <w:numFmt w:val="lowerRoman"/>
      <w:lvlText w:val="%1.)"/>
      <w:lvlJc w:val="right"/>
      <w:pPr>
        <w:ind w:left="629" w:hanging="360"/>
      </w:pPr>
      <w:rPr>
        <w:rFonts w:cs="Times New Roman" w:hint="default"/>
      </w:rPr>
    </w:lvl>
    <w:lvl w:ilvl="1" w:tplc="04090019" w:tentative="1">
      <w:start w:val="1"/>
      <w:numFmt w:val="lowerLetter"/>
      <w:lvlText w:val="%2."/>
      <w:lvlJc w:val="left"/>
      <w:pPr>
        <w:tabs>
          <w:tab w:val="num" w:pos="1349"/>
        </w:tabs>
        <w:ind w:left="1349" w:hanging="360"/>
      </w:pPr>
      <w:rPr>
        <w:rFonts w:cs="Times New Roman"/>
      </w:rPr>
    </w:lvl>
    <w:lvl w:ilvl="2" w:tplc="0409001B" w:tentative="1">
      <w:start w:val="1"/>
      <w:numFmt w:val="lowerRoman"/>
      <w:lvlText w:val="%3."/>
      <w:lvlJc w:val="right"/>
      <w:pPr>
        <w:tabs>
          <w:tab w:val="num" w:pos="2069"/>
        </w:tabs>
        <w:ind w:left="2069" w:hanging="180"/>
      </w:pPr>
      <w:rPr>
        <w:rFonts w:cs="Times New Roman"/>
      </w:rPr>
    </w:lvl>
    <w:lvl w:ilvl="3" w:tplc="0409000F" w:tentative="1">
      <w:start w:val="1"/>
      <w:numFmt w:val="decimal"/>
      <w:lvlText w:val="%4."/>
      <w:lvlJc w:val="left"/>
      <w:pPr>
        <w:tabs>
          <w:tab w:val="num" w:pos="2789"/>
        </w:tabs>
        <w:ind w:left="2789" w:hanging="360"/>
      </w:pPr>
      <w:rPr>
        <w:rFonts w:cs="Times New Roman"/>
      </w:rPr>
    </w:lvl>
    <w:lvl w:ilvl="4" w:tplc="04090019" w:tentative="1">
      <w:start w:val="1"/>
      <w:numFmt w:val="lowerLetter"/>
      <w:lvlText w:val="%5."/>
      <w:lvlJc w:val="left"/>
      <w:pPr>
        <w:tabs>
          <w:tab w:val="num" w:pos="3509"/>
        </w:tabs>
        <w:ind w:left="3509" w:hanging="360"/>
      </w:pPr>
      <w:rPr>
        <w:rFonts w:cs="Times New Roman"/>
      </w:rPr>
    </w:lvl>
    <w:lvl w:ilvl="5" w:tplc="0409001B" w:tentative="1">
      <w:start w:val="1"/>
      <w:numFmt w:val="lowerRoman"/>
      <w:lvlText w:val="%6."/>
      <w:lvlJc w:val="right"/>
      <w:pPr>
        <w:tabs>
          <w:tab w:val="num" w:pos="4229"/>
        </w:tabs>
        <w:ind w:left="4229" w:hanging="180"/>
      </w:pPr>
      <w:rPr>
        <w:rFonts w:cs="Times New Roman"/>
      </w:rPr>
    </w:lvl>
    <w:lvl w:ilvl="6" w:tplc="0409000F" w:tentative="1">
      <w:start w:val="1"/>
      <w:numFmt w:val="decimal"/>
      <w:lvlText w:val="%7."/>
      <w:lvlJc w:val="left"/>
      <w:pPr>
        <w:tabs>
          <w:tab w:val="num" w:pos="4949"/>
        </w:tabs>
        <w:ind w:left="4949" w:hanging="360"/>
      </w:pPr>
      <w:rPr>
        <w:rFonts w:cs="Times New Roman"/>
      </w:rPr>
    </w:lvl>
    <w:lvl w:ilvl="7" w:tplc="04090019" w:tentative="1">
      <w:start w:val="1"/>
      <w:numFmt w:val="lowerLetter"/>
      <w:lvlText w:val="%8."/>
      <w:lvlJc w:val="left"/>
      <w:pPr>
        <w:tabs>
          <w:tab w:val="num" w:pos="5669"/>
        </w:tabs>
        <w:ind w:left="5669" w:hanging="360"/>
      </w:pPr>
      <w:rPr>
        <w:rFonts w:cs="Times New Roman"/>
      </w:rPr>
    </w:lvl>
    <w:lvl w:ilvl="8" w:tplc="0409001B" w:tentative="1">
      <w:start w:val="1"/>
      <w:numFmt w:val="lowerRoman"/>
      <w:lvlText w:val="%9."/>
      <w:lvlJc w:val="right"/>
      <w:pPr>
        <w:tabs>
          <w:tab w:val="num" w:pos="6389"/>
        </w:tabs>
        <w:ind w:left="6389" w:hanging="180"/>
      </w:pPr>
      <w:rPr>
        <w:rFonts w:cs="Times New Roman"/>
      </w:rPr>
    </w:lvl>
  </w:abstractNum>
  <w:abstractNum w:abstractNumId="63">
    <w:nsid w:val="6F91572A"/>
    <w:multiLevelType w:val="multilevel"/>
    <w:tmpl w:val="6A943D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71482243"/>
    <w:multiLevelType w:val="multilevel"/>
    <w:tmpl w:val="28606C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71A50CC6"/>
    <w:multiLevelType w:val="hybridMultilevel"/>
    <w:tmpl w:val="93B64DC0"/>
    <w:lvl w:ilvl="0" w:tplc="FBAA3BF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1AE7AEA"/>
    <w:multiLevelType w:val="hybridMultilevel"/>
    <w:tmpl w:val="F542A6CE"/>
    <w:lvl w:ilvl="0" w:tplc="4974671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45816F7"/>
    <w:multiLevelType w:val="hybridMultilevel"/>
    <w:tmpl w:val="B1882AF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55A5F50"/>
    <w:multiLevelType w:val="multilevel"/>
    <w:tmpl w:val="71788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75B041C3"/>
    <w:multiLevelType w:val="hybridMultilevel"/>
    <w:tmpl w:val="13BA2D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5FB75DC"/>
    <w:multiLevelType w:val="hybridMultilevel"/>
    <w:tmpl w:val="8D56A968"/>
    <w:lvl w:ilvl="0" w:tplc="BB8EA85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6E90809"/>
    <w:multiLevelType w:val="multilevel"/>
    <w:tmpl w:val="FB908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CC602B7"/>
    <w:multiLevelType w:val="hybridMultilevel"/>
    <w:tmpl w:val="03D07CDE"/>
    <w:lvl w:ilvl="0" w:tplc="5B66B4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D795FEB"/>
    <w:multiLevelType w:val="multilevel"/>
    <w:tmpl w:val="976481A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FE134C2"/>
    <w:multiLevelType w:val="hybridMultilevel"/>
    <w:tmpl w:val="D648108C"/>
    <w:lvl w:ilvl="0" w:tplc="4C2E1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66"/>
  </w:num>
  <w:num w:numId="3">
    <w:abstractNumId w:val="41"/>
  </w:num>
  <w:num w:numId="4">
    <w:abstractNumId w:val="22"/>
  </w:num>
  <w:num w:numId="5">
    <w:abstractNumId w:val="17"/>
  </w:num>
  <w:num w:numId="6">
    <w:abstractNumId w:val="2"/>
  </w:num>
  <w:num w:numId="7">
    <w:abstractNumId w:val="8"/>
  </w:num>
  <w:num w:numId="8">
    <w:abstractNumId w:val="57"/>
  </w:num>
  <w:num w:numId="9">
    <w:abstractNumId w:val="55"/>
  </w:num>
  <w:num w:numId="10">
    <w:abstractNumId w:val="31"/>
  </w:num>
  <w:num w:numId="11">
    <w:abstractNumId w:val="6"/>
  </w:num>
  <w:num w:numId="12">
    <w:abstractNumId w:val="63"/>
  </w:num>
  <w:num w:numId="13">
    <w:abstractNumId w:val="60"/>
  </w:num>
  <w:num w:numId="14">
    <w:abstractNumId w:val="68"/>
  </w:num>
  <w:num w:numId="15">
    <w:abstractNumId w:val="71"/>
  </w:num>
  <w:num w:numId="16">
    <w:abstractNumId w:val="46"/>
  </w:num>
  <w:num w:numId="17">
    <w:abstractNumId w:val="9"/>
  </w:num>
  <w:num w:numId="18">
    <w:abstractNumId w:val="14"/>
  </w:num>
  <w:num w:numId="19">
    <w:abstractNumId w:val="72"/>
  </w:num>
  <w:num w:numId="20">
    <w:abstractNumId w:val="0"/>
  </w:num>
  <w:num w:numId="21">
    <w:abstractNumId w:val="36"/>
  </w:num>
  <w:num w:numId="22">
    <w:abstractNumId w:val="29"/>
  </w:num>
  <w:num w:numId="23">
    <w:abstractNumId w:val="35"/>
  </w:num>
  <w:num w:numId="24">
    <w:abstractNumId w:val="5"/>
  </w:num>
  <w:num w:numId="25">
    <w:abstractNumId w:val="70"/>
  </w:num>
  <w:num w:numId="26">
    <w:abstractNumId w:val="27"/>
  </w:num>
  <w:num w:numId="27">
    <w:abstractNumId w:val="47"/>
  </w:num>
  <w:num w:numId="28">
    <w:abstractNumId w:val="74"/>
  </w:num>
  <w:num w:numId="29">
    <w:abstractNumId w:val="40"/>
  </w:num>
  <w:num w:numId="30">
    <w:abstractNumId w:val="19"/>
  </w:num>
  <w:num w:numId="31">
    <w:abstractNumId w:val="10"/>
  </w:num>
  <w:num w:numId="32">
    <w:abstractNumId w:val="50"/>
  </w:num>
  <w:num w:numId="33">
    <w:abstractNumId w:val="44"/>
  </w:num>
  <w:num w:numId="34">
    <w:abstractNumId w:val="16"/>
  </w:num>
  <w:num w:numId="35">
    <w:abstractNumId w:val="23"/>
  </w:num>
  <w:num w:numId="36">
    <w:abstractNumId w:val="25"/>
  </w:num>
  <w:num w:numId="37">
    <w:abstractNumId w:val="28"/>
  </w:num>
  <w:num w:numId="38">
    <w:abstractNumId w:val="11"/>
  </w:num>
  <w:num w:numId="39">
    <w:abstractNumId w:val="3"/>
  </w:num>
  <w:num w:numId="40">
    <w:abstractNumId w:val="73"/>
  </w:num>
  <w:num w:numId="41">
    <w:abstractNumId w:val="54"/>
  </w:num>
  <w:num w:numId="42">
    <w:abstractNumId w:val="42"/>
  </w:num>
  <w:num w:numId="43">
    <w:abstractNumId w:val="39"/>
  </w:num>
  <w:num w:numId="44">
    <w:abstractNumId w:val="26"/>
  </w:num>
  <w:num w:numId="45">
    <w:abstractNumId w:val="52"/>
  </w:num>
  <w:num w:numId="46">
    <w:abstractNumId w:val="65"/>
  </w:num>
  <w:num w:numId="47">
    <w:abstractNumId w:val="30"/>
  </w:num>
  <w:num w:numId="48">
    <w:abstractNumId w:val="21"/>
  </w:num>
  <w:num w:numId="49">
    <w:abstractNumId w:val="58"/>
  </w:num>
  <w:num w:numId="50">
    <w:abstractNumId w:val="4"/>
  </w:num>
  <w:num w:numId="51">
    <w:abstractNumId w:val="33"/>
  </w:num>
  <w:num w:numId="52">
    <w:abstractNumId w:val="59"/>
  </w:num>
  <w:num w:numId="53">
    <w:abstractNumId w:val="15"/>
  </w:num>
  <w:num w:numId="54">
    <w:abstractNumId w:val="45"/>
  </w:num>
  <w:num w:numId="55">
    <w:abstractNumId w:val="32"/>
  </w:num>
  <w:num w:numId="56">
    <w:abstractNumId w:val="20"/>
  </w:num>
  <w:num w:numId="57">
    <w:abstractNumId w:val="34"/>
  </w:num>
  <w:num w:numId="58">
    <w:abstractNumId w:val="24"/>
  </w:num>
  <w:num w:numId="59">
    <w:abstractNumId w:val="7"/>
  </w:num>
  <w:num w:numId="60">
    <w:abstractNumId w:val="1"/>
  </w:num>
  <w:num w:numId="61">
    <w:abstractNumId w:val="49"/>
  </w:num>
  <w:num w:numId="62">
    <w:abstractNumId w:val="62"/>
  </w:num>
  <w:num w:numId="63">
    <w:abstractNumId w:val="69"/>
  </w:num>
  <w:num w:numId="64">
    <w:abstractNumId w:val="12"/>
  </w:num>
  <w:num w:numId="65">
    <w:abstractNumId w:val="48"/>
  </w:num>
  <w:num w:numId="66">
    <w:abstractNumId w:val="13"/>
  </w:num>
  <w:num w:numId="67">
    <w:abstractNumId w:val="38"/>
  </w:num>
  <w:num w:numId="68">
    <w:abstractNumId w:val="51"/>
  </w:num>
  <w:num w:numId="69">
    <w:abstractNumId w:val="43"/>
  </w:num>
  <w:num w:numId="70">
    <w:abstractNumId w:val="67"/>
  </w:num>
  <w:num w:numId="71">
    <w:abstractNumId w:val="56"/>
  </w:num>
  <w:num w:numId="72">
    <w:abstractNumId w:val="64"/>
  </w:num>
  <w:num w:numId="73">
    <w:abstractNumId w:val="53"/>
  </w:num>
  <w:num w:numId="74">
    <w:abstractNumId w:val="18"/>
  </w:num>
  <w:num w:numId="7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0"/>
    <w:rsid w:val="00020BC6"/>
    <w:rsid w:val="00055120"/>
    <w:rsid w:val="00086D26"/>
    <w:rsid w:val="000913D6"/>
    <w:rsid w:val="000B681E"/>
    <w:rsid w:val="00111E0C"/>
    <w:rsid w:val="00130389"/>
    <w:rsid w:val="00145004"/>
    <w:rsid w:val="0016205D"/>
    <w:rsid w:val="00162B6D"/>
    <w:rsid w:val="00163F5A"/>
    <w:rsid w:val="001D26B7"/>
    <w:rsid w:val="001F31CD"/>
    <w:rsid w:val="002608CD"/>
    <w:rsid w:val="002639F4"/>
    <w:rsid w:val="002A640F"/>
    <w:rsid w:val="002A6FC9"/>
    <w:rsid w:val="002B5303"/>
    <w:rsid w:val="002C7690"/>
    <w:rsid w:val="002D0D14"/>
    <w:rsid w:val="002D34FE"/>
    <w:rsid w:val="002D6746"/>
    <w:rsid w:val="002E4AD3"/>
    <w:rsid w:val="00324EDA"/>
    <w:rsid w:val="003963CE"/>
    <w:rsid w:val="003A174A"/>
    <w:rsid w:val="003B2A6B"/>
    <w:rsid w:val="003D006B"/>
    <w:rsid w:val="003D510D"/>
    <w:rsid w:val="003E20D7"/>
    <w:rsid w:val="003F2896"/>
    <w:rsid w:val="003F53D0"/>
    <w:rsid w:val="004111CD"/>
    <w:rsid w:val="00422DEE"/>
    <w:rsid w:val="004237FB"/>
    <w:rsid w:val="00430C21"/>
    <w:rsid w:val="00441687"/>
    <w:rsid w:val="004436CC"/>
    <w:rsid w:val="00445155"/>
    <w:rsid w:val="0046364E"/>
    <w:rsid w:val="00465070"/>
    <w:rsid w:val="004839C7"/>
    <w:rsid w:val="004D04EB"/>
    <w:rsid w:val="004E577C"/>
    <w:rsid w:val="004F32D9"/>
    <w:rsid w:val="0050348A"/>
    <w:rsid w:val="005042D5"/>
    <w:rsid w:val="0055566C"/>
    <w:rsid w:val="0059060F"/>
    <w:rsid w:val="006038FE"/>
    <w:rsid w:val="006234C2"/>
    <w:rsid w:val="006259B0"/>
    <w:rsid w:val="00643EAA"/>
    <w:rsid w:val="00656F14"/>
    <w:rsid w:val="006707CD"/>
    <w:rsid w:val="00676252"/>
    <w:rsid w:val="006A2926"/>
    <w:rsid w:val="006B1350"/>
    <w:rsid w:val="006B65C3"/>
    <w:rsid w:val="006C2AA0"/>
    <w:rsid w:val="006D7580"/>
    <w:rsid w:val="006E4D18"/>
    <w:rsid w:val="00716DC4"/>
    <w:rsid w:val="00720466"/>
    <w:rsid w:val="00737260"/>
    <w:rsid w:val="00746750"/>
    <w:rsid w:val="00761E2E"/>
    <w:rsid w:val="007671CC"/>
    <w:rsid w:val="00775C49"/>
    <w:rsid w:val="00785936"/>
    <w:rsid w:val="00794A42"/>
    <w:rsid w:val="007A576E"/>
    <w:rsid w:val="007B1BC5"/>
    <w:rsid w:val="007D169C"/>
    <w:rsid w:val="007E339C"/>
    <w:rsid w:val="007F6FD3"/>
    <w:rsid w:val="00812F61"/>
    <w:rsid w:val="00815CFB"/>
    <w:rsid w:val="00856A7A"/>
    <w:rsid w:val="00881901"/>
    <w:rsid w:val="008D154F"/>
    <w:rsid w:val="008E3E2F"/>
    <w:rsid w:val="008E4676"/>
    <w:rsid w:val="008F4CBE"/>
    <w:rsid w:val="008F4E31"/>
    <w:rsid w:val="009061C0"/>
    <w:rsid w:val="00907286"/>
    <w:rsid w:val="00914981"/>
    <w:rsid w:val="00921C20"/>
    <w:rsid w:val="009272B3"/>
    <w:rsid w:val="00942C51"/>
    <w:rsid w:val="0094779A"/>
    <w:rsid w:val="00953003"/>
    <w:rsid w:val="009725D4"/>
    <w:rsid w:val="00985C1F"/>
    <w:rsid w:val="009D485E"/>
    <w:rsid w:val="009E3514"/>
    <w:rsid w:val="009E3630"/>
    <w:rsid w:val="009F23DC"/>
    <w:rsid w:val="00A03856"/>
    <w:rsid w:val="00A32763"/>
    <w:rsid w:val="00A34680"/>
    <w:rsid w:val="00A52E9C"/>
    <w:rsid w:val="00A63968"/>
    <w:rsid w:val="00AB6A5E"/>
    <w:rsid w:val="00AC440A"/>
    <w:rsid w:val="00AC64AA"/>
    <w:rsid w:val="00AD2EB0"/>
    <w:rsid w:val="00AD3298"/>
    <w:rsid w:val="00AD618E"/>
    <w:rsid w:val="00AF1350"/>
    <w:rsid w:val="00B01590"/>
    <w:rsid w:val="00B039B5"/>
    <w:rsid w:val="00B54903"/>
    <w:rsid w:val="00B6730C"/>
    <w:rsid w:val="00B77381"/>
    <w:rsid w:val="00BC1674"/>
    <w:rsid w:val="00BC41D2"/>
    <w:rsid w:val="00BD46E9"/>
    <w:rsid w:val="00BE1923"/>
    <w:rsid w:val="00BF2B9F"/>
    <w:rsid w:val="00BF59FA"/>
    <w:rsid w:val="00C01979"/>
    <w:rsid w:val="00C056E4"/>
    <w:rsid w:val="00C10D30"/>
    <w:rsid w:val="00C152EA"/>
    <w:rsid w:val="00C42C8E"/>
    <w:rsid w:val="00C67570"/>
    <w:rsid w:val="00CC3467"/>
    <w:rsid w:val="00CE1FF1"/>
    <w:rsid w:val="00CE3A66"/>
    <w:rsid w:val="00CE4BEB"/>
    <w:rsid w:val="00D22601"/>
    <w:rsid w:val="00D32A8F"/>
    <w:rsid w:val="00D550C8"/>
    <w:rsid w:val="00D94B67"/>
    <w:rsid w:val="00DC63ED"/>
    <w:rsid w:val="00DD2B53"/>
    <w:rsid w:val="00DD54B4"/>
    <w:rsid w:val="00DF4846"/>
    <w:rsid w:val="00E24DFC"/>
    <w:rsid w:val="00E60D47"/>
    <w:rsid w:val="00E63C50"/>
    <w:rsid w:val="00ED2F16"/>
    <w:rsid w:val="00EE6BBB"/>
    <w:rsid w:val="00F00949"/>
    <w:rsid w:val="00F14F38"/>
    <w:rsid w:val="00F16E51"/>
    <w:rsid w:val="00F178BD"/>
    <w:rsid w:val="00F52E4F"/>
    <w:rsid w:val="00F63D73"/>
    <w:rsid w:val="00F739AD"/>
    <w:rsid w:val="00F91A1E"/>
    <w:rsid w:val="00F963FB"/>
    <w:rsid w:val="00FA26BB"/>
    <w:rsid w:val="00FA4429"/>
    <w:rsid w:val="00FE1EAF"/>
    <w:rsid w:val="00FF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6B135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907286"/>
    <w:pPr>
      <w:ind w:left="720"/>
      <w:contextualSpacing/>
    </w:pPr>
  </w:style>
  <w:style w:type="table" w:customStyle="1" w:styleId="Calendar1">
    <w:name w:val="Calendar 1"/>
    <w:basedOn w:val="TableNormal"/>
    <w:uiPriority w:val="99"/>
    <w:qFormat/>
    <w:rsid w:val="00B6730C"/>
    <w:pPr>
      <w:spacing w:after="0" w:line="240" w:lineRule="auto"/>
    </w:pPr>
    <w:rPr>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rsid w:val="00ED2F16"/>
    <w:rPr>
      <w:sz w:val="6"/>
    </w:rPr>
  </w:style>
  <w:style w:type="paragraph" w:styleId="Header">
    <w:name w:val="header"/>
    <w:basedOn w:val="Normal"/>
    <w:link w:val="HeaderChar"/>
    <w:uiPriority w:val="99"/>
    <w:semiHidden/>
    <w:unhideWhenUsed/>
    <w:rsid w:val="00BD4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6E9"/>
  </w:style>
  <w:style w:type="paragraph" w:styleId="Footer">
    <w:name w:val="footer"/>
    <w:basedOn w:val="Normal"/>
    <w:link w:val="FooterChar"/>
    <w:uiPriority w:val="99"/>
    <w:unhideWhenUsed/>
    <w:rsid w:val="00BD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E9"/>
  </w:style>
  <w:style w:type="paragraph" w:styleId="CommentText">
    <w:name w:val="annotation text"/>
    <w:basedOn w:val="Normal"/>
    <w:link w:val="CommentTextChar"/>
    <w:uiPriority w:val="99"/>
    <w:unhideWhenUsed/>
    <w:rsid w:val="00BD46E9"/>
    <w:pPr>
      <w:spacing w:line="240" w:lineRule="auto"/>
    </w:pPr>
    <w:rPr>
      <w:sz w:val="20"/>
      <w:szCs w:val="20"/>
    </w:rPr>
  </w:style>
  <w:style w:type="character" w:customStyle="1" w:styleId="CommentTextChar">
    <w:name w:val="Comment Text Char"/>
    <w:basedOn w:val="DefaultParagraphFont"/>
    <w:link w:val="CommentText"/>
    <w:uiPriority w:val="99"/>
    <w:rsid w:val="00BD46E9"/>
    <w:rPr>
      <w:sz w:val="20"/>
      <w:szCs w:val="20"/>
    </w:rPr>
  </w:style>
  <w:style w:type="paragraph" w:styleId="CommentSubject">
    <w:name w:val="annotation subject"/>
    <w:basedOn w:val="CommentText"/>
    <w:next w:val="CommentText"/>
    <w:link w:val="CommentSubjectChar"/>
    <w:uiPriority w:val="99"/>
    <w:semiHidden/>
    <w:unhideWhenUsed/>
    <w:rsid w:val="00BD46E9"/>
    <w:rPr>
      <w:b/>
      <w:bCs/>
    </w:rPr>
  </w:style>
  <w:style w:type="character" w:customStyle="1" w:styleId="CommentSubjectChar">
    <w:name w:val="Comment Subject Char"/>
    <w:basedOn w:val="CommentTextChar"/>
    <w:link w:val="CommentSubject"/>
    <w:uiPriority w:val="99"/>
    <w:semiHidden/>
    <w:rsid w:val="00BD46E9"/>
    <w:rPr>
      <w:b/>
      <w:bCs/>
      <w:sz w:val="20"/>
      <w:szCs w:val="20"/>
    </w:rPr>
  </w:style>
  <w:style w:type="paragraph" w:styleId="BalloonText">
    <w:name w:val="Balloon Text"/>
    <w:basedOn w:val="Normal"/>
    <w:link w:val="BalloonTextChar"/>
    <w:uiPriority w:val="99"/>
    <w:semiHidden/>
    <w:unhideWhenUsed/>
    <w:rsid w:val="00BD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6B135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907286"/>
    <w:pPr>
      <w:ind w:left="720"/>
      <w:contextualSpacing/>
    </w:pPr>
  </w:style>
  <w:style w:type="table" w:customStyle="1" w:styleId="Calendar1">
    <w:name w:val="Calendar 1"/>
    <w:basedOn w:val="TableNormal"/>
    <w:uiPriority w:val="99"/>
    <w:qFormat/>
    <w:rsid w:val="00B6730C"/>
    <w:pPr>
      <w:spacing w:after="0" w:line="240" w:lineRule="auto"/>
    </w:pPr>
    <w:rPr>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rsid w:val="00ED2F16"/>
    <w:rPr>
      <w:sz w:val="6"/>
    </w:rPr>
  </w:style>
  <w:style w:type="paragraph" w:styleId="Header">
    <w:name w:val="header"/>
    <w:basedOn w:val="Normal"/>
    <w:link w:val="HeaderChar"/>
    <w:uiPriority w:val="99"/>
    <w:semiHidden/>
    <w:unhideWhenUsed/>
    <w:rsid w:val="00BD4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6E9"/>
  </w:style>
  <w:style w:type="paragraph" w:styleId="Footer">
    <w:name w:val="footer"/>
    <w:basedOn w:val="Normal"/>
    <w:link w:val="FooterChar"/>
    <w:uiPriority w:val="99"/>
    <w:unhideWhenUsed/>
    <w:rsid w:val="00BD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E9"/>
  </w:style>
  <w:style w:type="paragraph" w:styleId="CommentText">
    <w:name w:val="annotation text"/>
    <w:basedOn w:val="Normal"/>
    <w:link w:val="CommentTextChar"/>
    <w:uiPriority w:val="99"/>
    <w:unhideWhenUsed/>
    <w:rsid w:val="00BD46E9"/>
    <w:pPr>
      <w:spacing w:line="240" w:lineRule="auto"/>
    </w:pPr>
    <w:rPr>
      <w:sz w:val="20"/>
      <w:szCs w:val="20"/>
    </w:rPr>
  </w:style>
  <w:style w:type="character" w:customStyle="1" w:styleId="CommentTextChar">
    <w:name w:val="Comment Text Char"/>
    <w:basedOn w:val="DefaultParagraphFont"/>
    <w:link w:val="CommentText"/>
    <w:uiPriority w:val="99"/>
    <w:rsid w:val="00BD46E9"/>
    <w:rPr>
      <w:sz w:val="20"/>
      <w:szCs w:val="20"/>
    </w:rPr>
  </w:style>
  <w:style w:type="paragraph" w:styleId="CommentSubject">
    <w:name w:val="annotation subject"/>
    <w:basedOn w:val="CommentText"/>
    <w:next w:val="CommentText"/>
    <w:link w:val="CommentSubjectChar"/>
    <w:uiPriority w:val="99"/>
    <w:semiHidden/>
    <w:unhideWhenUsed/>
    <w:rsid w:val="00BD46E9"/>
    <w:rPr>
      <w:b/>
      <w:bCs/>
    </w:rPr>
  </w:style>
  <w:style w:type="character" w:customStyle="1" w:styleId="CommentSubjectChar">
    <w:name w:val="Comment Subject Char"/>
    <w:basedOn w:val="CommentTextChar"/>
    <w:link w:val="CommentSubject"/>
    <w:uiPriority w:val="99"/>
    <w:semiHidden/>
    <w:rsid w:val="00BD46E9"/>
    <w:rPr>
      <w:b/>
      <w:bCs/>
      <w:sz w:val="20"/>
      <w:szCs w:val="20"/>
    </w:rPr>
  </w:style>
  <w:style w:type="paragraph" w:styleId="BalloonText">
    <w:name w:val="Balloon Text"/>
    <w:basedOn w:val="Normal"/>
    <w:link w:val="BalloonTextChar"/>
    <w:uiPriority w:val="99"/>
    <w:semiHidden/>
    <w:unhideWhenUsed/>
    <w:rsid w:val="00BD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F3AC8-38DE-4A33-ACA6-9797C0FB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Joseph Gichuki</cp:lastModifiedBy>
  <cp:revision>2</cp:revision>
  <cp:lastPrinted>2013-02-28T08:24:00Z</cp:lastPrinted>
  <dcterms:created xsi:type="dcterms:W3CDTF">2015-08-14T07:11:00Z</dcterms:created>
  <dcterms:modified xsi:type="dcterms:W3CDTF">2015-08-14T07:11:00Z</dcterms:modified>
</cp:coreProperties>
</file>