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B70C4E" w:rsidRDefault="00D76EF0" w:rsidP="00AC638F">
      <w:pPr>
        <w:jc w:val="center"/>
        <w:rPr>
          <w:b/>
          <w:sz w:val="48"/>
        </w:rPr>
      </w:pPr>
      <w:r>
        <w:rPr>
          <w:b/>
          <w:sz w:val="48"/>
        </w:rPr>
        <w:t>Syria</w:t>
      </w:r>
    </w:p>
    <w:p w:rsidR="00AC638F" w:rsidRPr="00C06095" w:rsidRDefault="00AC638F" w:rsidP="00AC638F">
      <w:pPr>
        <w:jc w:val="both"/>
        <w:rPr>
          <w:i/>
          <w:sz w:val="24"/>
          <w:szCs w:val="24"/>
        </w:rPr>
      </w:pPr>
      <w:r w:rsidRPr="00C06095">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AC638F" w:rsidRDefault="00AC638F" w:rsidP="00AC638F">
      <w:pPr>
        <w:jc w:val="both"/>
        <w:rPr>
          <w:i/>
          <w:sz w:val="24"/>
          <w:szCs w:val="24"/>
        </w:rPr>
      </w:pPr>
      <w:r w:rsidRPr="00C06095">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E70BF1" w:rsidRDefault="00E70BF1" w:rsidP="00404013">
      <w:pPr>
        <w:pStyle w:val="ListParagraph"/>
        <w:jc w:val="both"/>
        <w:rPr>
          <w:sz w:val="24"/>
          <w:szCs w:val="24"/>
        </w:rPr>
      </w:pPr>
    </w:p>
    <w:p w:rsidR="00520930" w:rsidRDefault="00520930" w:rsidP="00404013">
      <w:pPr>
        <w:pStyle w:val="ListParagraph"/>
        <w:jc w:val="both"/>
        <w:rPr>
          <w:sz w:val="24"/>
          <w:szCs w:val="24"/>
        </w:rPr>
      </w:pPr>
    </w:p>
    <w:p w:rsidR="00520930" w:rsidRPr="00520930" w:rsidRDefault="00520930" w:rsidP="00AC638F">
      <w:pPr>
        <w:jc w:val="center"/>
        <w:rPr>
          <w:sz w:val="24"/>
          <w:szCs w:val="24"/>
        </w:rPr>
      </w:pPr>
      <w:r w:rsidRPr="00520930">
        <w:rPr>
          <w:sz w:val="24"/>
          <w:szCs w:val="24"/>
        </w:rPr>
        <w:t>Table of Contents</w:t>
      </w:r>
    </w:p>
    <w:tbl>
      <w:tblPr>
        <w:tblStyle w:val="LightShading1"/>
        <w:tblW w:w="8996" w:type="dxa"/>
        <w:tblLook w:val="04A0" w:firstRow="1" w:lastRow="0" w:firstColumn="1" w:lastColumn="0" w:noHBand="0" w:noVBand="1"/>
      </w:tblPr>
      <w:tblGrid>
        <w:gridCol w:w="8187"/>
        <w:gridCol w:w="809"/>
      </w:tblGrid>
      <w:tr w:rsidR="00520930" w:rsidRPr="00BE6A41" w:rsidTr="0050388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87" w:type="dxa"/>
          </w:tcPr>
          <w:p w:rsidR="00520930" w:rsidRPr="00BE6A41" w:rsidRDefault="00520930" w:rsidP="00404013">
            <w:pPr>
              <w:jc w:val="both"/>
              <w:rPr>
                <w:sz w:val="24"/>
                <w:szCs w:val="24"/>
              </w:rPr>
            </w:pPr>
            <w:r w:rsidRPr="00BE6A41">
              <w:rPr>
                <w:sz w:val="24"/>
                <w:szCs w:val="24"/>
              </w:rPr>
              <w:t>Chapter</w:t>
            </w:r>
          </w:p>
        </w:tc>
        <w:tc>
          <w:tcPr>
            <w:tcW w:w="809" w:type="dxa"/>
            <w:vAlign w:val="center"/>
          </w:tcPr>
          <w:p w:rsidR="00520930" w:rsidRPr="00BE6A41" w:rsidRDefault="00520930" w:rsidP="00404013">
            <w:pPr>
              <w:jc w:val="both"/>
              <w:cnfStyle w:val="100000000000" w:firstRow="1" w:lastRow="0" w:firstColumn="0" w:lastColumn="0" w:oddVBand="0" w:evenVBand="0" w:oddHBand="0" w:evenHBand="0" w:firstRowFirstColumn="0" w:firstRowLastColumn="0" w:lastRowFirstColumn="0" w:lastRowLastColumn="0"/>
              <w:rPr>
                <w:sz w:val="24"/>
                <w:szCs w:val="24"/>
              </w:rPr>
            </w:pPr>
            <w:r w:rsidRPr="00BE6A41">
              <w:rPr>
                <w:sz w:val="24"/>
                <w:szCs w:val="24"/>
              </w:rPr>
              <w:t>Page</w:t>
            </w:r>
          </w:p>
        </w:tc>
      </w:tr>
      <w:tr w:rsidR="00520930" w:rsidRPr="00BE6A41" w:rsidTr="0050388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87" w:type="dxa"/>
          </w:tcPr>
          <w:p w:rsidR="00520930" w:rsidRPr="00BE6A41" w:rsidRDefault="00520930" w:rsidP="00404013">
            <w:pPr>
              <w:jc w:val="both"/>
              <w:rPr>
                <w:b w:val="0"/>
                <w:sz w:val="24"/>
                <w:szCs w:val="24"/>
              </w:rPr>
            </w:pPr>
            <w:r w:rsidRPr="00BE6A41">
              <w:rPr>
                <w:b w:val="0"/>
                <w:sz w:val="24"/>
                <w:szCs w:val="24"/>
              </w:rPr>
              <w:t>Summary</w:t>
            </w:r>
          </w:p>
        </w:tc>
        <w:tc>
          <w:tcPr>
            <w:tcW w:w="809" w:type="dxa"/>
            <w:vAlign w:val="center"/>
          </w:tcPr>
          <w:p w:rsidR="00520930" w:rsidRPr="00BE6A41" w:rsidRDefault="00520930" w:rsidP="00404013">
            <w:pPr>
              <w:jc w:val="both"/>
              <w:cnfStyle w:val="000000100000" w:firstRow="0" w:lastRow="0" w:firstColumn="0" w:lastColumn="0" w:oddVBand="0" w:evenVBand="0" w:oddHBand="1" w:evenHBand="0" w:firstRowFirstColumn="0" w:firstRowLastColumn="0" w:lastRowFirstColumn="0" w:lastRowLastColumn="0"/>
              <w:rPr>
                <w:sz w:val="24"/>
                <w:szCs w:val="24"/>
              </w:rPr>
            </w:pPr>
            <w:r w:rsidRPr="00BE6A41">
              <w:rPr>
                <w:sz w:val="24"/>
                <w:szCs w:val="24"/>
              </w:rPr>
              <w:t>2</w:t>
            </w:r>
          </w:p>
        </w:tc>
      </w:tr>
      <w:tr w:rsidR="00520930" w:rsidRPr="00BE6A41" w:rsidTr="00503880">
        <w:trPr>
          <w:trHeight w:val="294"/>
        </w:trPr>
        <w:tc>
          <w:tcPr>
            <w:cnfStyle w:val="001000000000" w:firstRow="0" w:lastRow="0" w:firstColumn="1" w:lastColumn="0" w:oddVBand="0" w:evenVBand="0" w:oddHBand="0" w:evenHBand="0" w:firstRowFirstColumn="0" w:firstRowLastColumn="0" w:lastRowFirstColumn="0" w:lastRowLastColumn="0"/>
            <w:tcW w:w="8187" w:type="dxa"/>
          </w:tcPr>
          <w:p w:rsidR="00520930" w:rsidRPr="00BE6A41" w:rsidRDefault="00520930" w:rsidP="00ED6E42">
            <w:pPr>
              <w:jc w:val="both"/>
              <w:rPr>
                <w:b w:val="0"/>
                <w:sz w:val="24"/>
                <w:szCs w:val="24"/>
              </w:rPr>
            </w:pPr>
            <w:r w:rsidRPr="00BE6A41">
              <w:rPr>
                <w:b w:val="0"/>
                <w:sz w:val="24"/>
                <w:szCs w:val="24"/>
              </w:rPr>
              <w:t xml:space="preserve">National Legal Framework </w:t>
            </w:r>
          </w:p>
        </w:tc>
        <w:tc>
          <w:tcPr>
            <w:tcW w:w="809" w:type="dxa"/>
            <w:vAlign w:val="center"/>
          </w:tcPr>
          <w:p w:rsidR="00520930" w:rsidRPr="00BE6A41" w:rsidRDefault="00520930" w:rsidP="00404013">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3</w:t>
            </w:r>
          </w:p>
        </w:tc>
      </w:tr>
      <w:tr w:rsidR="00520930" w:rsidRPr="00BE6A41" w:rsidTr="0050388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87" w:type="dxa"/>
          </w:tcPr>
          <w:p w:rsidR="00520930" w:rsidRPr="00BE6A41" w:rsidRDefault="00520930" w:rsidP="00ED6E42">
            <w:pPr>
              <w:jc w:val="both"/>
              <w:rPr>
                <w:b w:val="0"/>
                <w:sz w:val="24"/>
                <w:szCs w:val="24"/>
              </w:rPr>
            </w:pPr>
            <w:r w:rsidRPr="00BE6A41">
              <w:rPr>
                <w:b w:val="0"/>
                <w:sz w:val="24"/>
                <w:szCs w:val="24"/>
              </w:rPr>
              <w:t xml:space="preserve">Government </w:t>
            </w:r>
          </w:p>
        </w:tc>
        <w:tc>
          <w:tcPr>
            <w:tcW w:w="809" w:type="dxa"/>
            <w:vAlign w:val="center"/>
          </w:tcPr>
          <w:p w:rsidR="00520930" w:rsidRPr="00BE6A41" w:rsidRDefault="005800DF" w:rsidP="0040401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r>
      <w:tr w:rsidR="00ED6E42" w:rsidRPr="00BE6A41" w:rsidTr="00503880">
        <w:trPr>
          <w:trHeight w:val="294"/>
        </w:trPr>
        <w:tc>
          <w:tcPr>
            <w:cnfStyle w:val="001000000000" w:firstRow="0" w:lastRow="0" w:firstColumn="1" w:lastColumn="0" w:oddVBand="0" w:evenVBand="0" w:oddHBand="0" w:evenHBand="0" w:firstRowFirstColumn="0" w:firstRowLastColumn="0" w:lastRowFirstColumn="0" w:lastRowLastColumn="0"/>
            <w:tcW w:w="8187" w:type="dxa"/>
          </w:tcPr>
          <w:p w:rsidR="00ED6E42" w:rsidRPr="00BE6A41" w:rsidRDefault="00ED6E42" w:rsidP="00ED6E42">
            <w:pPr>
              <w:jc w:val="both"/>
              <w:rPr>
                <w:sz w:val="24"/>
                <w:szCs w:val="24"/>
              </w:rPr>
            </w:pPr>
            <w:r>
              <w:rPr>
                <w:sz w:val="24"/>
                <w:szCs w:val="24"/>
              </w:rPr>
              <w:t xml:space="preserve">Judiciary </w:t>
            </w:r>
          </w:p>
        </w:tc>
        <w:tc>
          <w:tcPr>
            <w:tcW w:w="809" w:type="dxa"/>
            <w:vAlign w:val="center"/>
          </w:tcPr>
          <w:p w:rsidR="00ED6E42" w:rsidRDefault="00ED6E42" w:rsidP="00404013">
            <w:pPr>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520930" w:rsidRPr="00BE6A41" w:rsidTr="0050388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7" w:type="dxa"/>
          </w:tcPr>
          <w:p w:rsidR="00520930" w:rsidRPr="00BE6A41" w:rsidRDefault="00520930" w:rsidP="00404013">
            <w:pPr>
              <w:jc w:val="both"/>
              <w:rPr>
                <w:b w:val="0"/>
                <w:sz w:val="24"/>
                <w:szCs w:val="24"/>
              </w:rPr>
            </w:pPr>
            <w:r w:rsidRPr="00BE6A41">
              <w:rPr>
                <w:b w:val="0"/>
                <w:sz w:val="24"/>
                <w:szCs w:val="24"/>
              </w:rPr>
              <w:t>International Conventions</w:t>
            </w:r>
          </w:p>
        </w:tc>
        <w:tc>
          <w:tcPr>
            <w:tcW w:w="809" w:type="dxa"/>
            <w:vAlign w:val="center"/>
          </w:tcPr>
          <w:p w:rsidR="00520930" w:rsidRPr="00BE6A41" w:rsidRDefault="003A459C" w:rsidP="0040401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520930" w:rsidRPr="00BE6A41" w:rsidTr="00503880">
        <w:trPr>
          <w:trHeight w:val="604"/>
        </w:trPr>
        <w:tc>
          <w:tcPr>
            <w:cnfStyle w:val="001000000000" w:firstRow="0" w:lastRow="0" w:firstColumn="1" w:lastColumn="0" w:oddVBand="0" w:evenVBand="0" w:oddHBand="0" w:evenHBand="0" w:firstRowFirstColumn="0" w:firstRowLastColumn="0" w:lastRowFirstColumn="0" w:lastRowLastColumn="0"/>
            <w:tcW w:w="8187" w:type="dxa"/>
          </w:tcPr>
          <w:p w:rsidR="00520930" w:rsidRPr="00BE6A41" w:rsidRDefault="00520930" w:rsidP="00ED6E42">
            <w:pPr>
              <w:jc w:val="both"/>
              <w:rPr>
                <w:b w:val="0"/>
                <w:sz w:val="24"/>
                <w:szCs w:val="24"/>
              </w:rPr>
            </w:pPr>
            <w:r w:rsidRPr="00BE6A41">
              <w:rPr>
                <w:b w:val="0"/>
                <w:sz w:val="24"/>
                <w:szCs w:val="24"/>
              </w:rPr>
              <w:t>UN Reviews</w:t>
            </w:r>
            <w:r w:rsidR="00ED6E42">
              <w:rPr>
                <w:b w:val="0"/>
                <w:sz w:val="24"/>
                <w:szCs w:val="24"/>
              </w:rPr>
              <w:t xml:space="preserve"> and Agencies</w:t>
            </w:r>
            <w:r w:rsidRPr="00BE6A41">
              <w:rPr>
                <w:b w:val="0"/>
                <w:sz w:val="24"/>
                <w:szCs w:val="24"/>
              </w:rPr>
              <w:t xml:space="preserve"> </w:t>
            </w:r>
          </w:p>
        </w:tc>
        <w:tc>
          <w:tcPr>
            <w:tcW w:w="809" w:type="dxa"/>
            <w:vAlign w:val="center"/>
          </w:tcPr>
          <w:p w:rsidR="00520930" w:rsidRPr="00BE6A41" w:rsidRDefault="003A459C" w:rsidP="0040401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r>
      <w:tr w:rsidR="00520930" w:rsidRPr="00BE6A41" w:rsidTr="0050388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87" w:type="dxa"/>
          </w:tcPr>
          <w:p w:rsidR="00520930" w:rsidRPr="00607B35" w:rsidRDefault="00520930" w:rsidP="00ED6E42">
            <w:pPr>
              <w:jc w:val="both"/>
              <w:rPr>
                <w:b w:val="0"/>
                <w:sz w:val="24"/>
                <w:szCs w:val="24"/>
                <w:lang w:val="fr-FR"/>
              </w:rPr>
            </w:pPr>
            <w:r w:rsidRPr="00607B35">
              <w:rPr>
                <w:b w:val="0"/>
                <w:sz w:val="24"/>
                <w:szCs w:val="24"/>
                <w:lang w:val="fr-FR"/>
              </w:rPr>
              <w:t xml:space="preserve">UN-Habitat </w:t>
            </w:r>
          </w:p>
        </w:tc>
        <w:tc>
          <w:tcPr>
            <w:tcW w:w="809" w:type="dxa"/>
            <w:vAlign w:val="center"/>
          </w:tcPr>
          <w:p w:rsidR="00520930" w:rsidRPr="00BE6A41" w:rsidRDefault="00FE1192" w:rsidP="0040401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520930" w:rsidRPr="00BE6A41" w:rsidTr="00503880">
        <w:trPr>
          <w:trHeight w:val="310"/>
        </w:trPr>
        <w:tc>
          <w:tcPr>
            <w:cnfStyle w:val="001000000000" w:firstRow="0" w:lastRow="0" w:firstColumn="1" w:lastColumn="0" w:oddVBand="0" w:evenVBand="0" w:oddHBand="0" w:evenHBand="0" w:firstRowFirstColumn="0" w:firstRowLastColumn="0" w:lastRowFirstColumn="0" w:lastRowLastColumn="0"/>
            <w:tcW w:w="8187" w:type="dxa"/>
          </w:tcPr>
          <w:p w:rsidR="00520930" w:rsidRPr="00BE6A41" w:rsidRDefault="00520930" w:rsidP="00404013">
            <w:pPr>
              <w:jc w:val="both"/>
              <w:rPr>
                <w:b w:val="0"/>
                <w:sz w:val="24"/>
                <w:szCs w:val="24"/>
              </w:rPr>
            </w:pPr>
            <w:r w:rsidRPr="00BE6A41">
              <w:rPr>
                <w:b w:val="0"/>
                <w:sz w:val="24"/>
                <w:szCs w:val="24"/>
              </w:rPr>
              <w:t>Further Information</w:t>
            </w:r>
          </w:p>
        </w:tc>
        <w:tc>
          <w:tcPr>
            <w:tcW w:w="809" w:type="dxa"/>
            <w:vAlign w:val="center"/>
          </w:tcPr>
          <w:p w:rsidR="00520930" w:rsidRPr="00BE6A41" w:rsidRDefault="00FE1192" w:rsidP="0040401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w:t>
            </w:r>
          </w:p>
        </w:tc>
      </w:tr>
    </w:tbl>
    <w:p w:rsidR="00AC638F" w:rsidRDefault="00AC638F" w:rsidP="00404013">
      <w:pPr>
        <w:jc w:val="both"/>
        <w:rPr>
          <w:sz w:val="24"/>
          <w:szCs w:val="24"/>
        </w:rPr>
      </w:pPr>
    </w:p>
    <w:p w:rsidR="00E70BF1" w:rsidRPr="00E70BF1" w:rsidRDefault="00E70BF1" w:rsidP="00AC638F">
      <w:pPr>
        <w:jc w:val="center"/>
        <w:rPr>
          <w:b/>
          <w:sz w:val="24"/>
          <w:szCs w:val="24"/>
        </w:rPr>
      </w:pPr>
      <w:r w:rsidRPr="00E70BF1">
        <w:rPr>
          <w:b/>
          <w:sz w:val="24"/>
          <w:szCs w:val="24"/>
        </w:rPr>
        <w:t>Revision History</w:t>
      </w:r>
    </w:p>
    <w:tbl>
      <w:tblPr>
        <w:tblStyle w:val="LightList1"/>
        <w:tblW w:w="0" w:type="auto"/>
        <w:jc w:val="center"/>
        <w:tblLook w:val="04A0" w:firstRow="1" w:lastRow="0" w:firstColumn="1" w:lastColumn="0" w:noHBand="0" w:noVBand="1"/>
      </w:tblPr>
      <w:tblGrid>
        <w:gridCol w:w="3050"/>
        <w:gridCol w:w="3051"/>
        <w:gridCol w:w="3051"/>
      </w:tblGrid>
      <w:tr w:rsidR="00E70BF1" w:rsidRPr="00E70BF1" w:rsidTr="008E1742">
        <w:trPr>
          <w:cnfStyle w:val="100000000000" w:firstRow="1" w:lastRow="0" w:firstColumn="0" w:lastColumn="0" w:oddVBand="0" w:evenVBand="0" w:oddHBand="0"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3050" w:type="dxa"/>
          </w:tcPr>
          <w:p w:rsidR="00E70BF1" w:rsidRPr="00E70BF1" w:rsidRDefault="005A1868" w:rsidP="00404013">
            <w:pPr>
              <w:spacing w:line="276" w:lineRule="auto"/>
              <w:jc w:val="both"/>
            </w:pPr>
            <w:r>
              <w:t xml:space="preserve">            </w:t>
            </w:r>
            <w:r w:rsidR="00E70BF1" w:rsidRPr="00E70BF1">
              <w:t>Rev</w:t>
            </w:r>
            <w:r w:rsidR="00E70BF1">
              <w:t>i</w:t>
            </w:r>
            <w:r w:rsidR="00E70BF1" w:rsidRPr="00E70BF1">
              <w:t>sion</w:t>
            </w:r>
            <w:r>
              <w:t xml:space="preserve">                                                 </w:t>
            </w:r>
          </w:p>
        </w:tc>
        <w:tc>
          <w:tcPr>
            <w:tcW w:w="3051" w:type="dxa"/>
          </w:tcPr>
          <w:p w:rsidR="00E70BF1" w:rsidRPr="00E70BF1" w:rsidRDefault="00E70BF1" w:rsidP="009638EA">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51" w:type="dxa"/>
          </w:tcPr>
          <w:p w:rsidR="00E70BF1" w:rsidRPr="00E70BF1" w:rsidRDefault="00E70BF1" w:rsidP="00404013">
            <w:pPr>
              <w:spacing w:line="276" w:lineRule="auto"/>
              <w:jc w:val="both"/>
              <w:cnfStyle w:val="100000000000" w:firstRow="1" w:lastRow="0" w:firstColumn="0" w:lastColumn="0" w:oddVBand="0" w:evenVBand="0" w:oddHBand="0" w:evenHBand="0" w:firstRowFirstColumn="0" w:firstRowLastColumn="0" w:lastRowFirstColumn="0" w:lastRowLastColumn="0"/>
            </w:pPr>
            <w:r w:rsidRPr="00E70BF1">
              <w:t>Author</w:t>
            </w:r>
          </w:p>
        </w:tc>
      </w:tr>
      <w:tr w:rsidR="00E70BF1" w:rsidTr="008E1742">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3050" w:type="dxa"/>
          </w:tcPr>
          <w:p w:rsidR="00E70BF1" w:rsidRPr="0080312B" w:rsidRDefault="005A1868" w:rsidP="00404013">
            <w:pPr>
              <w:spacing w:line="276" w:lineRule="auto"/>
              <w:jc w:val="both"/>
              <w:rPr>
                <w:b w:val="0"/>
                <w:i/>
              </w:rPr>
            </w:pPr>
            <w:r>
              <w:rPr>
                <w:b w:val="0"/>
                <w:i/>
              </w:rPr>
              <w:t xml:space="preserve">                  </w:t>
            </w:r>
            <w:r w:rsidR="00E70BF1" w:rsidRPr="0080312B">
              <w:rPr>
                <w:b w:val="0"/>
                <w:i/>
              </w:rPr>
              <w:t>1</w:t>
            </w:r>
            <w:r>
              <w:rPr>
                <w:b w:val="0"/>
                <w:i/>
              </w:rPr>
              <w:t xml:space="preserve">            </w:t>
            </w:r>
          </w:p>
        </w:tc>
        <w:tc>
          <w:tcPr>
            <w:tcW w:w="3051" w:type="dxa"/>
          </w:tcPr>
          <w:p w:rsidR="00E70BF1" w:rsidRPr="0080312B" w:rsidRDefault="005A1868" w:rsidP="00404013">
            <w:pPr>
              <w:spacing w:line="276" w:lineRule="auto"/>
              <w:jc w:val="both"/>
              <w:cnfStyle w:val="000000100000" w:firstRow="0" w:lastRow="0" w:firstColumn="0" w:lastColumn="0" w:oddVBand="0" w:evenVBand="0" w:oddHBand="1" w:evenHBand="0" w:firstRowFirstColumn="0" w:firstRowLastColumn="0" w:lastRowFirstColumn="0" w:lastRowLastColumn="0"/>
              <w:rPr>
                <w:i/>
              </w:rPr>
            </w:pPr>
            <w:r>
              <w:rPr>
                <w:i/>
              </w:rPr>
              <w:t xml:space="preserve">                     </w:t>
            </w:r>
            <w:r w:rsidR="00D76EF0">
              <w:rPr>
                <w:i/>
              </w:rPr>
              <w:t>28/04/16</w:t>
            </w:r>
          </w:p>
        </w:tc>
        <w:tc>
          <w:tcPr>
            <w:tcW w:w="3051" w:type="dxa"/>
          </w:tcPr>
          <w:p w:rsidR="00E70BF1" w:rsidRPr="0080312B" w:rsidRDefault="00D76EF0" w:rsidP="00404013">
            <w:pPr>
              <w:spacing w:line="276" w:lineRule="auto"/>
              <w:jc w:val="both"/>
              <w:cnfStyle w:val="000000100000" w:firstRow="0" w:lastRow="0" w:firstColumn="0" w:lastColumn="0" w:oddVBand="0" w:evenVBand="0" w:oddHBand="1" w:evenHBand="0" w:firstRowFirstColumn="0" w:firstRowLastColumn="0" w:lastRowFirstColumn="0" w:lastRowLastColumn="0"/>
              <w:rPr>
                <w:i/>
              </w:rPr>
            </w:pPr>
            <w:r>
              <w:rPr>
                <w:i/>
              </w:rPr>
              <w:t>BO</w:t>
            </w:r>
          </w:p>
        </w:tc>
      </w:tr>
      <w:tr w:rsidR="00E70BF1" w:rsidTr="008E1742">
        <w:trPr>
          <w:trHeight w:val="163"/>
          <w:jc w:val="center"/>
        </w:trPr>
        <w:tc>
          <w:tcPr>
            <w:cnfStyle w:val="001000000000" w:firstRow="0" w:lastRow="0" w:firstColumn="1" w:lastColumn="0" w:oddVBand="0" w:evenVBand="0" w:oddHBand="0" w:evenHBand="0" w:firstRowFirstColumn="0" w:firstRowLastColumn="0" w:lastRowFirstColumn="0" w:lastRowLastColumn="0"/>
            <w:tcW w:w="3050" w:type="dxa"/>
          </w:tcPr>
          <w:p w:rsidR="00E70BF1" w:rsidRDefault="00E70BF1" w:rsidP="00404013">
            <w:pPr>
              <w:spacing w:line="276" w:lineRule="auto"/>
              <w:jc w:val="both"/>
              <w:rPr>
                <w:b w:val="0"/>
              </w:rPr>
            </w:pPr>
          </w:p>
        </w:tc>
        <w:tc>
          <w:tcPr>
            <w:tcW w:w="3051" w:type="dxa"/>
          </w:tcPr>
          <w:p w:rsidR="00E70BF1" w:rsidRPr="003A459C" w:rsidRDefault="00404013" w:rsidP="00404013">
            <w:pPr>
              <w:spacing w:line="276" w:lineRule="auto"/>
              <w:jc w:val="both"/>
              <w:cnfStyle w:val="000000000000" w:firstRow="0" w:lastRow="0" w:firstColumn="0" w:lastColumn="0" w:oddVBand="0" w:evenVBand="0" w:oddHBand="0" w:evenHBand="0" w:firstRowFirstColumn="0" w:firstRowLastColumn="0" w:lastRowFirstColumn="0" w:lastRowLastColumn="0"/>
            </w:pPr>
            <w:r w:rsidRPr="003A459C">
              <w:t xml:space="preserve"> </w:t>
            </w:r>
          </w:p>
        </w:tc>
        <w:tc>
          <w:tcPr>
            <w:tcW w:w="3051" w:type="dxa"/>
          </w:tcPr>
          <w:p w:rsidR="00E70BF1" w:rsidRPr="003A459C" w:rsidRDefault="00E70BF1" w:rsidP="00404013">
            <w:pPr>
              <w:spacing w:line="276" w:lineRule="auto"/>
              <w:jc w:val="both"/>
              <w:cnfStyle w:val="000000000000" w:firstRow="0" w:lastRow="0" w:firstColumn="0" w:lastColumn="0" w:oddVBand="0" w:evenVBand="0" w:oddHBand="0" w:evenHBand="0" w:firstRowFirstColumn="0" w:firstRowLastColumn="0" w:lastRowFirstColumn="0" w:lastRowLastColumn="0"/>
            </w:pPr>
          </w:p>
        </w:tc>
      </w:tr>
    </w:tbl>
    <w:p w:rsidR="008166E6" w:rsidRDefault="008166E6" w:rsidP="00404013">
      <w:pPr>
        <w:jc w:val="both"/>
        <w:rPr>
          <w:b/>
          <w:sz w:val="32"/>
        </w:rPr>
      </w:pPr>
    </w:p>
    <w:p w:rsidR="00046EAE" w:rsidRDefault="00707A15" w:rsidP="008166E6">
      <w:pPr>
        <w:rPr>
          <w:b/>
          <w:sz w:val="32"/>
        </w:rPr>
      </w:pPr>
      <w:r w:rsidRPr="00707A15">
        <w:rPr>
          <w:b/>
          <w:sz w:val="32"/>
        </w:rPr>
        <w:lastRenderedPageBreak/>
        <w:t>Summary</w:t>
      </w:r>
    </w:p>
    <w:p w:rsidR="00551D18" w:rsidRDefault="000A7066" w:rsidP="000A7066">
      <w:pPr>
        <w:jc w:val="both"/>
        <w:rPr>
          <w:rFonts w:cstheme="minorHAnsi"/>
          <w:lang w:val="en-US"/>
        </w:rPr>
      </w:pPr>
      <w:r>
        <w:rPr>
          <w:rFonts w:cstheme="minorHAnsi"/>
        </w:rPr>
        <w:t xml:space="preserve">Syria is governed by the Constitution of the Syrian Arab Republic </w:t>
      </w:r>
      <w:r w:rsidR="005A1868">
        <w:rPr>
          <w:rFonts w:cstheme="minorHAnsi"/>
        </w:rPr>
        <w:t>enacted in</w:t>
      </w:r>
      <w:r>
        <w:rPr>
          <w:rFonts w:cstheme="minorHAnsi"/>
        </w:rPr>
        <w:t xml:space="preserve"> 2012.</w:t>
      </w:r>
      <w:r w:rsidR="00986B6F">
        <w:rPr>
          <w:rStyle w:val="FootnoteReference"/>
          <w:rFonts w:cstheme="minorHAnsi"/>
        </w:rPr>
        <w:footnoteReference w:id="1"/>
      </w:r>
      <w:r>
        <w:rPr>
          <w:rFonts w:cstheme="minorHAnsi"/>
        </w:rPr>
        <w:t xml:space="preserve"> The Constitution was born out of the </w:t>
      </w:r>
      <w:r>
        <w:rPr>
          <w:rFonts w:cstheme="minorHAnsi"/>
          <w:lang w:val="en-US"/>
        </w:rPr>
        <w:t>u</w:t>
      </w:r>
      <w:r w:rsidRPr="000A7066">
        <w:rPr>
          <w:rFonts w:cstheme="minorHAnsi"/>
          <w:lang w:val="en-US"/>
        </w:rPr>
        <w:t>nanimous</w:t>
      </w:r>
      <w:r>
        <w:rPr>
          <w:rFonts w:cstheme="minorHAnsi"/>
          <w:lang w:val="en-US"/>
        </w:rPr>
        <w:t xml:space="preserve"> adoption of resolution 2254 (2015) where </w:t>
      </w:r>
      <w:r w:rsidRPr="000A7066">
        <w:rPr>
          <w:rFonts w:cstheme="minorHAnsi"/>
          <w:lang w:val="en-US"/>
        </w:rPr>
        <w:t xml:space="preserve">foreign ministers and others gathered in New York for the third meeting of the International Syria Support </w:t>
      </w:r>
      <w:proofErr w:type="spellStart"/>
      <w:r w:rsidRPr="000A7066">
        <w:rPr>
          <w:rFonts w:cstheme="minorHAnsi"/>
          <w:lang w:val="en-US"/>
        </w:rPr>
        <w:t>Group</w:t>
      </w:r>
      <w:r w:rsidR="005A1868">
        <w:rPr>
          <w:rFonts w:cstheme="minorHAnsi"/>
          <w:lang w:val="en-US"/>
        </w:rPr>
        <w:t>.</w:t>
      </w:r>
      <w:r w:rsidR="00551D18">
        <w:rPr>
          <w:rFonts w:cstheme="minorHAnsi"/>
          <w:lang w:val="en-US"/>
        </w:rPr>
        <w:t>The</w:t>
      </w:r>
      <w:proofErr w:type="spellEnd"/>
      <w:r w:rsidR="00551D18">
        <w:rPr>
          <w:rFonts w:cstheme="minorHAnsi"/>
          <w:lang w:val="en-US"/>
        </w:rPr>
        <w:t xml:space="preserve"> Constitution of Syria 2012 </w:t>
      </w:r>
      <w:r w:rsidR="005A1868">
        <w:rPr>
          <w:rFonts w:cstheme="minorHAnsi"/>
        </w:rPr>
        <w:t xml:space="preserve">references individuals’ standard of </w:t>
      </w:r>
      <w:r w:rsidR="005A1868">
        <w:rPr>
          <w:rFonts w:cstheme="minorHAnsi"/>
        </w:rPr>
        <w:t xml:space="preserve">living, and </w:t>
      </w:r>
      <w:r w:rsidR="005A1868">
        <w:rPr>
          <w:rFonts w:cstheme="minorHAnsi"/>
        </w:rPr>
        <w:t>provide</w:t>
      </w:r>
      <w:r w:rsidR="005A1868">
        <w:rPr>
          <w:rFonts w:cstheme="minorHAnsi"/>
        </w:rPr>
        <w:t>s</w:t>
      </w:r>
      <w:r w:rsidR="005A1868">
        <w:rPr>
          <w:rFonts w:cstheme="minorHAnsi"/>
        </w:rPr>
        <w:t xml:space="preserve"> that houses shall not be entered or inspected except by an order of the competent judicial authority in the cases by the law.</w:t>
      </w:r>
    </w:p>
    <w:p w:rsidR="00443BF8" w:rsidRPr="00443BF8" w:rsidRDefault="00443BF8" w:rsidP="009638EA">
      <w:pPr>
        <w:jc w:val="both"/>
        <w:rPr>
          <w:rFonts w:cstheme="minorHAnsi"/>
          <w:lang w:val="en-US"/>
        </w:rPr>
      </w:pPr>
      <w:r>
        <w:rPr>
          <w:rFonts w:cstheme="minorHAnsi"/>
          <w:lang w:val="en-US"/>
        </w:rPr>
        <w:t>Syria has a Ministry of Housing and Urban Development.</w:t>
      </w:r>
      <w:r w:rsidR="005A1868" w:rsidRPr="005A1868">
        <w:rPr>
          <w:rFonts w:cstheme="minorHAnsi"/>
          <w:lang w:val="en-US"/>
        </w:rPr>
        <w:t xml:space="preserve"> </w:t>
      </w:r>
      <w:r w:rsidR="005A1868" w:rsidRPr="0048331C">
        <w:rPr>
          <w:rFonts w:cstheme="minorHAnsi"/>
          <w:lang w:val="en-US"/>
        </w:rPr>
        <w:t xml:space="preserve">The on-going crisis in Syria is escalating and the number of people affected by the crisis is increasing daily. Cities and towns, including hospitals, schools, </w:t>
      </w:r>
      <w:proofErr w:type="gramStart"/>
      <w:r w:rsidR="005A1868" w:rsidRPr="0048331C">
        <w:rPr>
          <w:rFonts w:cstheme="minorHAnsi"/>
          <w:lang w:val="en-US"/>
        </w:rPr>
        <w:t>water</w:t>
      </w:r>
      <w:proofErr w:type="gramEnd"/>
      <w:r w:rsidR="005A1868" w:rsidRPr="0048331C">
        <w:rPr>
          <w:rFonts w:cstheme="minorHAnsi"/>
          <w:lang w:val="en-US"/>
        </w:rPr>
        <w:t xml:space="preserve"> and sanitation infrastructure have been targeted, while hundreds of thousands of homes have been damaged or destroyed. From 1 million people requiring humanitarian assistance in April 2012, the number has reached </w:t>
      </w:r>
      <w:r w:rsidR="005A1868">
        <w:rPr>
          <w:rFonts w:cstheme="minorHAnsi"/>
          <w:lang w:val="en-US"/>
        </w:rPr>
        <w:t>13.5 million people.</w:t>
      </w:r>
      <w:r w:rsidR="005A1868">
        <w:rPr>
          <w:rStyle w:val="FootnoteReference"/>
          <w:rFonts w:cstheme="minorHAnsi"/>
          <w:lang w:val="en-US"/>
        </w:rPr>
        <w:footnoteReference w:id="2"/>
      </w:r>
    </w:p>
    <w:p w:rsidR="00443BF8" w:rsidRDefault="00A57E06" w:rsidP="000A7066">
      <w:pPr>
        <w:jc w:val="both"/>
        <w:rPr>
          <w:rFonts w:cstheme="minorHAnsi"/>
        </w:rPr>
      </w:pPr>
      <w:r>
        <w:rPr>
          <w:rFonts w:cstheme="minorHAnsi"/>
        </w:rPr>
        <w:t>Syria</w:t>
      </w:r>
      <w:r w:rsidRPr="00A57E06">
        <w:rPr>
          <w:rFonts w:cstheme="minorHAnsi"/>
        </w:rPr>
        <w:t xml:space="preserve"> is a State Party to the International Covenant on Economic, Social and Cultural Rights, </w:t>
      </w:r>
      <w:r>
        <w:rPr>
          <w:rFonts w:cstheme="minorHAnsi"/>
        </w:rPr>
        <w:t xml:space="preserve">which provides for the right to an adequate standard of living, of </w:t>
      </w:r>
      <w:r w:rsidRPr="00A57E06">
        <w:rPr>
          <w:rFonts w:cstheme="minorHAnsi"/>
        </w:rPr>
        <w:t xml:space="preserve">which </w:t>
      </w:r>
      <w:r>
        <w:rPr>
          <w:rFonts w:cstheme="minorHAnsi"/>
        </w:rPr>
        <w:t>the right to adequate housing is a part of.</w:t>
      </w:r>
    </w:p>
    <w:p w:rsidR="00A57E06" w:rsidRPr="00A57E06" w:rsidRDefault="006F1143" w:rsidP="00A57E06">
      <w:pPr>
        <w:jc w:val="both"/>
        <w:rPr>
          <w:rFonts w:cstheme="minorHAnsi"/>
          <w:lang w:val="en-US"/>
        </w:rPr>
      </w:pPr>
      <w:r>
        <w:rPr>
          <w:rFonts w:cstheme="minorHAnsi"/>
          <w:lang w:val="en-US"/>
        </w:rPr>
        <w:t>The UN Review Mechanism</w:t>
      </w:r>
      <w:r w:rsidR="005A1868">
        <w:rPr>
          <w:rFonts w:cstheme="minorHAnsi"/>
          <w:lang w:val="en-US"/>
        </w:rPr>
        <w:t>s have recognized t</w:t>
      </w:r>
      <w:r w:rsidR="00A57E06" w:rsidRPr="00A57E06">
        <w:rPr>
          <w:rFonts w:cstheme="minorHAnsi"/>
          <w:lang w:val="en-US"/>
        </w:rPr>
        <w:t>he challenges facing the country and opport</w:t>
      </w:r>
      <w:r w:rsidR="00A57E06">
        <w:rPr>
          <w:rFonts w:cstheme="minorHAnsi"/>
          <w:lang w:val="en-US"/>
        </w:rPr>
        <w:t xml:space="preserve">unities for the UN to assist in </w:t>
      </w:r>
      <w:r w:rsidR="00A57E06" w:rsidRPr="00A57E06">
        <w:rPr>
          <w:rFonts w:cstheme="minorHAnsi"/>
          <w:lang w:val="en-US"/>
        </w:rPr>
        <w:t>addressing them</w:t>
      </w:r>
      <w:r w:rsidR="005A1868">
        <w:rPr>
          <w:rFonts w:cstheme="minorHAnsi"/>
          <w:lang w:val="en-US"/>
        </w:rPr>
        <w:t>.</w:t>
      </w:r>
      <w:r w:rsidR="00A57E06" w:rsidRPr="00A57E06">
        <w:rPr>
          <w:rFonts w:cstheme="minorHAnsi"/>
          <w:lang w:val="en-US"/>
        </w:rPr>
        <w:t xml:space="preserve"> </w:t>
      </w:r>
    </w:p>
    <w:p w:rsidR="00551D18" w:rsidRDefault="00551D18" w:rsidP="00404013">
      <w:pPr>
        <w:jc w:val="both"/>
        <w:rPr>
          <w:rFonts w:cstheme="minorHAnsi"/>
          <w:lang w:val="en-US"/>
        </w:rPr>
      </w:pPr>
    </w:p>
    <w:p w:rsidR="00551D18" w:rsidRDefault="00551D18" w:rsidP="00404013">
      <w:pPr>
        <w:jc w:val="both"/>
        <w:rPr>
          <w:rFonts w:cstheme="minorHAnsi"/>
          <w:lang w:val="en-US"/>
        </w:rPr>
      </w:pPr>
    </w:p>
    <w:p w:rsidR="009638EA" w:rsidRDefault="009638EA">
      <w:pPr>
        <w:rPr>
          <w:b/>
          <w:sz w:val="28"/>
        </w:rPr>
      </w:pPr>
      <w:r>
        <w:rPr>
          <w:b/>
          <w:sz w:val="28"/>
        </w:rPr>
        <w:br w:type="page"/>
      </w:r>
    </w:p>
    <w:p w:rsidR="002E7D99" w:rsidRPr="005F6E9E" w:rsidRDefault="00912A34" w:rsidP="00404013">
      <w:pPr>
        <w:jc w:val="both"/>
        <w:rPr>
          <w:b/>
        </w:rPr>
      </w:pPr>
      <w:r>
        <w:rPr>
          <w:b/>
          <w:sz w:val="28"/>
        </w:rPr>
        <w:lastRenderedPageBreak/>
        <w:t xml:space="preserve">National </w:t>
      </w:r>
      <w:r w:rsidR="0080312B" w:rsidRPr="00437199">
        <w:rPr>
          <w:b/>
          <w:sz w:val="28"/>
        </w:rPr>
        <w:t>Legal Framework</w:t>
      </w:r>
    </w:p>
    <w:p w:rsidR="005F6E9E" w:rsidRDefault="005F6E9E" w:rsidP="00404013">
      <w:pPr>
        <w:jc w:val="both"/>
        <w:rPr>
          <w:b/>
          <w:i/>
        </w:rPr>
      </w:pPr>
      <w:r>
        <w:rPr>
          <w:b/>
          <w:i/>
        </w:rPr>
        <w:t>Constitution</w:t>
      </w:r>
      <w:r w:rsidR="00E4309A">
        <w:rPr>
          <w:rStyle w:val="FootnoteReference"/>
          <w:b/>
          <w:i/>
        </w:rPr>
        <w:footnoteReference w:id="3"/>
      </w:r>
    </w:p>
    <w:p w:rsidR="006F2083" w:rsidRDefault="006F2083" w:rsidP="009638EA">
      <w:pPr>
        <w:jc w:val="both"/>
        <w:rPr>
          <w:rFonts w:cstheme="minorHAnsi"/>
        </w:rPr>
      </w:pPr>
      <w:r>
        <w:rPr>
          <w:rFonts w:cstheme="minorHAnsi"/>
        </w:rPr>
        <w:t xml:space="preserve">Syria is governed by the Constitution of the Syrian Arab Republic </w:t>
      </w:r>
      <w:r w:rsidR="005A1868">
        <w:rPr>
          <w:rFonts w:cstheme="minorHAnsi"/>
        </w:rPr>
        <w:t>which was enacted in</w:t>
      </w:r>
      <w:r>
        <w:rPr>
          <w:rFonts w:cstheme="minorHAnsi"/>
        </w:rPr>
        <w:t xml:space="preserve"> 2012. The Constitution was born out of the </w:t>
      </w:r>
      <w:r>
        <w:rPr>
          <w:rFonts w:cstheme="minorHAnsi"/>
          <w:lang w:val="en-US"/>
        </w:rPr>
        <w:t>u</w:t>
      </w:r>
      <w:r w:rsidRPr="000A7066">
        <w:rPr>
          <w:rFonts w:cstheme="minorHAnsi"/>
          <w:lang w:val="en-US"/>
        </w:rPr>
        <w:t>nanimous</w:t>
      </w:r>
      <w:r>
        <w:rPr>
          <w:rFonts w:cstheme="minorHAnsi"/>
          <w:lang w:val="en-US"/>
        </w:rPr>
        <w:t xml:space="preserve"> adoption of resolution 2254 (2015) where </w:t>
      </w:r>
      <w:r w:rsidRPr="000A7066">
        <w:rPr>
          <w:rFonts w:cstheme="minorHAnsi"/>
          <w:lang w:val="en-US"/>
        </w:rPr>
        <w:t>foreign ministers and others gathered in New York for the third meeting of the International Syria Support Group</w:t>
      </w:r>
      <w:r w:rsidR="005A1868">
        <w:rPr>
          <w:rFonts w:cstheme="minorHAnsi"/>
          <w:lang w:val="en-US"/>
        </w:rPr>
        <w:t>. T</w:t>
      </w:r>
      <w:r w:rsidR="005A1868" w:rsidRPr="000A7066">
        <w:rPr>
          <w:rFonts w:cstheme="minorHAnsi"/>
          <w:lang w:val="en-US"/>
        </w:rPr>
        <w:t>he Council reconfirmed its endorsement of the 30 June 2012 Geneva Communiqué, and endorsed the “Vienna Statements” in pursuit of the Communiqué’s implementation as the basis for a Syrian-led, Syrian-owned political transition to end the conflict.</w:t>
      </w:r>
      <w:r w:rsidR="005A1868">
        <w:rPr>
          <w:rFonts w:cstheme="minorHAnsi"/>
          <w:lang w:val="en-US"/>
        </w:rPr>
        <w:t xml:space="preserve"> </w:t>
      </w:r>
      <w:r w:rsidR="005A1868" w:rsidRPr="000A7066">
        <w:rPr>
          <w:rFonts w:cstheme="minorHAnsi"/>
          <w:lang w:val="en-US"/>
        </w:rPr>
        <w:t>By further terms, the Council expressed support for free and fair elections, pursuant to the new constitution, to be held within 18 months and administered under United Nations supervision, “to the highest international standards” of transparency and accountability, with all Syrians — including members of the diaspora — eligible to participate.</w:t>
      </w:r>
      <w:r w:rsidR="005A1868">
        <w:rPr>
          <w:rStyle w:val="FootnoteReference"/>
          <w:rFonts w:cstheme="minorHAnsi"/>
          <w:lang w:val="en-US"/>
        </w:rPr>
        <w:footnoteReference w:id="4"/>
      </w:r>
    </w:p>
    <w:p w:rsidR="005F6E9E" w:rsidRDefault="005A1868" w:rsidP="009638EA">
      <w:pPr>
        <w:spacing w:before="100" w:beforeAutospacing="1" w:after="100" w:afterAutospacing="1"/>
        <w:jc w:val="both"/>
        <w:rPr>
          <w:rFonts w:cstheme="minorHAnsi"/>
        </w:rPr>
      </w:pPr>
      <w:r>
        <w:rPr>
          <w:rFonts w:cstheme="minorHAnsi"/>
        </w:rPr>
        <w:t>T</w:t>
      </w:r>
      <w:r w:rsidR="006F2083">
        <w:rPr>
          <w:rFonts w:cstheme="minorHAnsi"/>
        </w:rPr>
        <w:t xml:space="preserve">he Constitution of Syria references </w:t>
      </w:r>
      <w:r>
        <w:rPr>
          <w:rFonts w:cstheme="minorHAnsi"/>
        </w:rPr>
        <w:t xml:space="preserve">individuals’ </w:t>
      </w:r>
      <w:r w:rsidR="006F2083">
        <w:rPr>
          <w:rFonts w:cstheme="minorHAnsi"/>
        </w:rPr>
        <w:t>standard of living under its Article 13 (1)</w:t>
      </w:r>
      <w:r>
        <w:rPr>
          <w:rFonts w:cstheme="minorHAnsi"/>
        </w:rPr>
        <w:t>. Under Article 36, it is provided that houses shall not be entered or inspected except by an order of the competent judicial authority in the cases by the law.</w:t>
      </w:r>
    </w:p>
    <w:p w:rsidR="005A1868" w:rsidRDefault="005A1868" w:rsidP="009638EA">
      <w:pPr>
        <w:spacing w:before="100" w:beforeAutospacing="1" w:after="100" w:afterAutospacing="1"/>
        <w:jc w:val="both"/>
        <w:rPr>
          <w:rFonts w:cstheme="minorHAnsi"/>
        </w:rPr>
      </w:pPr>
      <w:r>
        <w:rPr>
          <w:rFonts w:cstheme="minorHAnsi"/>
        </w:rPr>
        <w:t>‘Article 13</w:t>
      </w:r>
    </w:p>
    <w:p w:rsidR="00697C43" w:rsidRDefault="005A1868" w:rsidP="009638EA">
      <w:pPr>
        <w:spacing w:before="100" w:beforeAutospacing="1" w:after="100" w:afterAutospacing="1"/>
        <w:jc w:val="both"/>
        <w:rPr>
          <w:rFonts w:eastAsia="Times New Roman" w:cstheme="minorHAnsi"/>
          <w:lang w:val="en-US" w:eastAsia="en-AU"/>
        </w:rPr>
      </w:pPr>
      <w:r>
        <w:rPr>
          <w:rFonts w:cstheme="minorHAnsi"/>
        </w:rPr>
        <w:t>(1)</w:t>
      </w:r>
      <w:r>
        <w:rPr>
          <w:rFonts w:eastAsia="Times New Roman" w:cstheme="minorHAnsi"/>
          <w:lang w:val="en-US" w:eastAsia="en-AU"/>
        </w:rPr>
        <w:t xml:space="preserve"> </w:t>
      </w:r>
      <w:r w:rsidR="006F2083" w:rsidRPr="006F2083">
        <w:rPr>
          <w:rFonts w:eastAsia="Times New Roman" w:cstheme="minorHAnsi"/>
          <w:lang w:val="en-US" w:eastAsia="en-AU"/>
        </w:rPr>
        <w:t>The national economy shall be based on the principle of developing public and private economic activity through economic and social plans aiming at increasing the national income, developing production</w:t>
      </w:r>
      <w:r w:rsidR="006F2083" w:rsidRPr="009638EA">
        <w:rPr>
          <w:rFonts w:eastAsia="Times New Roman" w:cstheme="minorHAnsi"/>
          <w:lang w:val="en-US" w:eastAsia="en-AU"/>
        </w:rPr>
        <w:t>, raising the individual’s living standards and creating jobs</w:t>
      </w:r>
      <w:r>
        <w:rPr>
          <w:rFonts w:eastAsia="Times New Roman" w:cstheme="minorHAnsi"/>
          <w:lang w:val="en-US" w:eastAsia="en-AU"/>
        </w:rPr>
        <w:t>.’</w:t>
      </w:r>
    </w:p>
    <w:p w:rsidR="005A1868" w:rsidRDefault="005A1868" w:rsidP="009638EA">
      <w:pPr>
        <w:spacing w:before="100" w:beforeAutospacing="1" w:after="100" w:afterAutospacing="1"/>
        <w:jc w:val="both"/>
      </w:pPr>
      <w:r>
        <w:t>‘</w:t>
      </w:r>
      <w:r>
        <w:t xml:space="preserve">Article 36 </w:t>
      </w:r>
    </w:p>
    <w:p w:rsidR="005A1868" w:rsidRDefault="005A1868" w:rsidP="009638EA">
      <w:pPr>
        <w:spacing w:before="100" w:beforeAutospacing="1" w:after="100" w:afterAutospacing="1"/>
        <w:jc w:val="both"/>
      </w:pPr>
      <w:r>
        <w:t>(</w:t>
      </w:r>
      <w:r>
        <w:t>1</w:t>
      </w:r>
      <w:r>
        <w:t>)</w:t>
      </w:r>
      <w:r>
        <w:t xml:space="preserve"> The inviolability of private life shall be protected by the law; </w:t>
      </w:r>
    </w:p>
    <w:p w:rsidR="005A1868" w:rsidRDefault="005A1868" w:rsidP="009638EA">
      <w:pPr>
        <w:spacing w:before="100" w:beforeAutospacing="1" w:after="100" w:afterAutospacing="1"/>
        <w:jc w:val="both"/>
      </w:pPr>
      <w:r>
        <w:t>(</w:t>
      </w:r>
      <w:r>
        <w:t>2</w:t>
      </w:r>
      <w:r>
        <w:t>)</w:t>
      </w:r>
      <w:r>
        <w:t xml:space="preserve"> Houses shall not be entered or inspected except by an order of the competent judicial authority in the cases prescribed by law.</w:t>
      </w:r>
      <w:r>
        <w:t>’</w:t>
      </w:r>
    </w:p>
    <w:p w:rsidR="005A1868" w:rsidRPr="009638EA" w:rsidRDefault="005A1868" w:rsidP="009638EA">
      <w:pPr>
        <w:spacing w:before="100" w:beforeAutospacing="1" w:after="100" w:afterAutospacing="1"/>
        <w:jc w:val="both"/>
      </w:pPr>
    </w:p>
    <w:p w:rsidR="002E7D99" w:rsidRPr="00437199" w:rsidRDefault="002E7D99" w:rsidP="00404013">
      <w:pPr>
        <w:jc w:val="both"/>
        <w:rPr>
          <w:b/>
          <w:sz w:val="28"/>
        </w:rPr>
      </w:pPr>
      <w:r w:rsidRPr="00437199">
        <w:rPr>
          <w:b/>
          <w:sz w:val="28"/>
        </w:rPr>
        <w:t>Government</w:t>
      </w:r>
    </w:p>
    <w:p w:rsidR="00004B53" w:rsidRPr="003A459C" w:rsidRDefault="00FB3104" w:rsidP="00404013">
      <w:pPr>
        <w:jc w:val="both"/>
        <w:rPr>
          <w:rFonts w:cstheme="minorHAnsi"/>
          <w:b/>
          <w:i/>
        </w:rPr>
      </w:pPr>
      <w:r w:rsidRPr="00F15FDA">
        <w:rPr>
          <w:rFonts w:cstheme="minorHAnsi"/>
          <w:b/>
          <w:i/>
        </w:rPr>
        <w:t>Political System</w:t>
      </w:r>
    </w:p>
    <w:p w:rsidR="00BB47EC" w:rsidRDefault="003C61A0" w:rsidP="00404013">
      <w:pPr>
        <w:jc w:val="both"/>
        <w:rPr>
          <w:rFonts w:cstheme="minorHAnsi"/>
        </w:rPr>
      </w:pPr>
      <w:r w:rsidRPr="003C61A0">
        <w:rPr>
          <w:rFonts w:cstheme="minorHAnsi"/>
        </w:rPr>
        <w:t xml:space="preserve">Syria is formally a unitary republic. The constitution adopted in 2012 effectively transformed Syria into a semi-presidential republic due to the constitutional right for the election of individuals who do </w:t>
      </w:r>
      <w:r w:rsidRPr="003C61A0">
        <w:rPr>
          <w:rFonts w:cstheme="minorHAnsi"/>
        </w:rPr>
        <w:lastRenderedPageBreak/>
        <w:t>not form part of t</w:t>
      </w:r>
      <w:r>
        <w:rPr>
          <w:rFonts w:cstheme="minorHAnsi"/>
        </w:rPr>
        <w:t>he National Progressive Front.</w:t>
      </w:r>
      <w:r>
        <w:rPr>
          <w:rStyle w:val="FootnoteReference"/>
          <w:rFonts w:cstheme="minorHAnsi"/>
        </w:rPr>
        <w:footnoteReference w:id="5"/>
      </w:r>
      <w:r w:rsidRPr="003C61A0">
        <w:rPr>
          <w:rFonts w:cstheme="minorHAnsi"/>
        </w:rPr>
        <w:t xml:space="preserve"> The President is Head of State and the Prime Mini</w:t>
      </w:r>
      <w:r>
        <w:rPr>
          <w:rFonts w:cstheme="minorHAnsi"/>
        </w:rPr>
        <w:t>ster is Head of Government.</w:t>
      </w:r>
      <w:r>
        <w:rPr>
          <w:rStyle w:val="FootnoteReference"/>
          <w:rFonts w:cstheme="minorHAnsi"/>
        </w:rPr>
        <w:footnoteReference w:id="6"/>
      </w:r>
      <w:r w:rsidRPr="003C61A0">
        <w:rPr>
          <w:rFonts w:cstheme="minorHAnsi"/>
        </w:rPr>
        <w:t xml:space="preserve"> The legislature, the Peoples Council, is the body responsible for passing laws, approving government appropri</w:t>
      </w:r>
      <w:r>
        <w:rPr>
          <w:rFonts w:cstheme="minorHAnsi"/>
        </w:rPr>
        <w:t>ations and debating policy.</w:t>
      </w:r>
      <w:r>
        <w:rPr>
          <w:rStyle w:val="FootnoteReference"/>
          <w:rFonts w:cstheme="minorHAnsi"/>
        </w:rPr>
        <w:footnoteReference w:id="7"/>
      </w:r>
      <w:r w:rsidRPr="003C61A0">
        <w:rPr>
          <w:rFonts w:cstheme="minorHAnsi"/>
        </w:rPr>
        <w:t xml:space="preserve"> In the event of a vote of no confidence by a simple majority, the Prime Minister is required to tender the resignation of their government to the President</w:t>
      </w:r>
      <w:r>
        <w:rPr>
          <w:rFonts w:cstheme="minorHAnsi"/>
        </w:rPr>
        <w:t>.</w:t>
      </w:r>
      <w:r>
        <w:rPr>
          <w:rStyle w:val="FootnoteReference"/>
          <w:rFonts w:cstheme="minorHAnsi"/>
        </w:rPr>
        <w:footnoteReference w:id="8"/>
      </w:r>
      <w:r w:rsidR="00FB3104" w:rsidRPr="00F15FDA">
        <w:rPr>
          <w:rFonts w:cstheme="minorHAnsi"/>
        </w:rPr>
        <w:tab/>
        <w:t xml:space="preserve"> </w:t>
      </w:r>
    </w:p>
    <w:p w:rsidR="009638EA" w:rsidRPr="00551D18" w:rsidRDefault="006356EB" w:rsidP="00404013">
      <w:pPr>
        <w:jc w:val="both"/>
        <w:rPr>
          <w:rFonts w:cstheme="minorHAnsi"/>
          <w:lang w:val="en-US"/>
        </w:rPr>
      </w:pPr>
      <w:r w:rsidRPr="0048331C">
        <w:rPr>
          <w:rFonts w:cstheme="minorHAnsi"/>
          <w:lang w:val="en-US"/>
        </w:rPr>
        <w:t xml:space="preserve">The on-going crisis in Syria is escalating and the number of people affected by the crisis is increasing daily. Cities and towns, including hospitals, schools, </w:t>
      </w:r>
      <w:proofErr w:type="gramStart"/>
      <w:r w:rsidRPr="0048331C">
        <w:rPr>
          <w:rFonts w:cstheme="minorHAnsi"/>
          <w:lang w:val="en-US"/>
        </w:rPr>
        <w:t>water</w:t>
      </w:r>
      <w:proofErr w:type="gramEnd"/>
      <w:r w:rsidRPr="0048331C">
        <w:rPr>
          <w:rFonts w:cstheme="minorHAnsi"/>
          <w:lang w:val="en-US"/>
        </w:rPr>
        <w:t xml:space="preserve"> and sanitation infrastructure have been targeted, while hundreds of thousands of homes have been damaged or destroyed. From 1 million people requiring humanitarian assistance in April 2012, the number has reached </w:t>
      </w:r>
      <w:r>
        <w:rPr>
          <w:rFonts w:cstheme="minorHAnsi"/>
          <w:lang w:val="en-US"/>
        </w:rPr>
        <w:t>13.5 million people.</w:t>
      </w:r>
      <w:r>
        <w:rPr>
          <w:rStyle w:val="FootnoteReference"/>
          <w:rFonts w:cstheme="minorHAnsi"/>
          <w:lang w:val="en-US"/>
        </w:rPr>
        <w:footnoteReference w:id="9"/>
      </w:r>
    </w:p>
    <w:p w:rsidR="00FB3104" w:rsidRPr="00FB3104" w:rsidRDefault="00BB47EC" w:rsidP="00404013">
      <w:pPr>
        <w:jc w:val="both"/>
        <w:rPr>
          <w:rFonts w:cstheme="minorHAnsi"/>
        </w:rPr>
      </w:pPr>
      <w:r>
        <w:rPr>
          <w:rFonts w:cstheme="minorHAnsi"/>
          <w:b/>
          <w:i/>
        </w:rPr>
        <w:t>Ministry of Housing and Urban Development</w:t>
      </w:r>
      <w:r>
        <w:rPr>
          <w:rStyle w:val="FootnoteReference"/>
          <w:rFonts w:cstheme="minorHAnsi"/>
          <w:b/>
          <w:i/>
        </w:rPr>
        <w:footnoteReference w:id="10"/>
      </w:r>
    </w:p>
    <w:p w:rsidR="00BB47EC" w:rsidRPr="00BB47EC" w:rsidRDefault="00BB47EC" w:rsidP="00BB47EC">
      <w:pPr>
        <w:rPr>
          <w:rFonts w:cstheme="minorHAnsi"/>
          <w:color w:val="000000"/>
          <w:lang w:val="en-US"/>
        </w:rPr>
      </w:pPr>
      <w:r w:rsidRPr="00BB47EC">
        <w:rPr>
          <w:rFonts w:cstheme="minorHAnsi"/>
          <w:color w:val="000000"/>
          <w:lang w:val="en-US"/>
        </w:rPr>
        <w:t>The Ministry of Housing and Urban Development is created in the Syrian Arab Republic under the Legislative Decree No. / 45 / Date 06/23/2012.</w:t>
      </w:r>
      <w:r w:rsidRPr="00BB47EC">
        <w:rPr>
          <w:rFonts w:cstheme="minorHAnsi"/>
          <w:color w:val="000000"/>
          <w:lang w:val="en-US"/>
        </w:rPr>
        <w:br/>
        <w:t>The following institutions and organization is related to the Ministry:</w:t>
      </w:r>
    </w:p>
    <w:p w:rsidR="00BB47EC" w:rsidRPr="00BB47EC" w:rsidRDefault="00BB47EC" w:rsidP="00BB47EC">
      <w:pPr>
        <w:numPr>
          <w:ilvl w:val="0"/>
          <w:numId w:val="28"/>
        </w:numPr>
        <w:rPr>
          <w:rFonts w:cstheme="minorHAnsi"/>
          <w:color w:val="000000"/>
          <w:lang w:val="en-US"/>
        </w:rPr>
      </w:pPr>
      <w:r w:rsidRPr="00BB47EC">
        <w:rPr>
          <w:rFonts w:cstheme="minorHAnsi"/>
          <w:color w:val="000000"/>
          <w:lang w:val="en-US"/>
        </w:rPr>
        <w:t>Regional Planning Commission.</w:t>
      </w:r>
    </w:p>
    <w:p w:rsidR="00BB47EC" w:rsidRPr="00BB47EC" w:rsidRDefault="00BB47EC" w:rsidP="00BB47EC">
      <w:pPr>
        <w:numPr>
          <w:ilvl w:val="0"/>
          <w:numId w:val="28"/>
        </w:numPr>
        <w:rPr>
          <w:rFonts w:cstheme="minorHAnsi"/>
          <w:color w:val="000000"/>
          <w:lang w:val="en-US"/>
        </w:rPr>
      </w:pPr>
      <w:r w:rsidRPr="00BB47EC">
        <w:rPr>
          <w:rFonts w:cstheme="minorHAnsi"/>
          <w:color w:val="000000"/>
          <w:lang w:val="en-US"/>
        </w:rPr>
        <w:t>General commission of development and real estate investment</w:t>
      </w:r>
    </w:p>
    <w:p w:rsidR="00BB47EC" w:rsidRPr="00BB47EC" w:rsidRDefault="00BB47EC" w:rsidP="00BB47EC">
      <w:pPr>
        <w:numPr>
          <w:ilvl w:val="0"/>
          <w:numId w:val="28"/>
        </w:numPr>
        <w:rPr>
          <w:rFonts w:cstheme="minorHAnsi"/>
          <w:color w:val="000000"/>
          <w:lang w:val="en-US"/>
        </w:rPr>
      </w:pPr>
      <w:r>
        <w:rPr>
          <w:rFonts w:cstheme="minorHAnsi"/>
          <w:color w:val="000000"/>
          <w:lang w:val="en-US"/>
        </w:rPr>
        <w:t>General institution of</w:t>
      </w:r>
      <w:r w:rsidRPr="00BB47EC">
        <w:rPr>
          <w:rFonts w:cstheme="minorHAnsi"/>
          <w:color w:val="000000"/>
          <w:lang w:val="en-US"/>
        </w:rPr>
        <w:t xml:space="preserve"> housing</w:t>
      </w:r>
    </w:p>
    <w:p w:rsidR="00BB47EC" w:rsidRPr="00BB47EC" w:rsidRDefault="00BB47EC" w:rsidP="00BB47EC">
      <w:pPr>
        <w:numPr>
          <w:ilvl w:val="0"/>
          <w:numId w:val="28"/>
        </w:numPr>
        <w:rPr>
          <w:rFonts w:cstheme="minorHAnsi"/>
          <w:color w:val="000000"/>
          <w:lang w:val="en-US"/>
        </w:rPr>
      </w:pPr>
      <w:r w:rsidRPr="00BB47EC">
        <w:rPr>
          <w:rFonts w:cstheme="minorHAnsi"/>
          <w:color w:val="000000"/>
          <w:lang w:val="en-US"/>
        </w:rPr>
        <w:t>General Cooperative residential Union</w:t>
      </w:r>
    </w:p>
    <w:p w:rsidR="00BB47EC" w:rsidRPr="00BB47EC" w:rsidRDefault="00BB47EC" w:rsidP="00BB47EC">
      <w:pPr>
        <w:numPr>
          <w:ilvl w:val="0"/>
          <w:numId w:val="28"/>
        </w:numPr>
        <w:rPr>
          <w:rFonts w:cstheme="minorHAnsi"/>
          <w:color w:val="000000"/>
          <w:lang w:val="en-US"/>
        </w:rPr>
      </w:pPr>
      <w:r w:rsidRPr="00BB47EC">
        <w:rPr>
          <w:rFonts w:cstheme="minorHAnsi"/>
          <w:color w:val="000000"/>
          <w:lang w:val="en-US"/>
        </w:rPr>
        <w:t>Research Center of Housing Studies</w:t>
      </w:r>
    </w:p>
    <w:p w:rsidR="00BB47EC" w:rsidRDefault="00BB47EC" w:rsidP="00BB47EC">
      <w:pPr>
        <w:jc w:val="both"/>
        <w:rPr>
          <w:rFonts w:cstheme="minorHAnsi"/>
          <w:color w:val="000000"/>
        </w:rPr>
      </w:pPr>
      <w:r>
        <w:rPr>
          <w:rFonts w:cstheme="minorHAnsi"/>
          <w:color w:val="000000"/>
        </w:rPr>
        <w:t xml:space="preserve">The </w:t>
      </w:r>
      <w:r w:rsidRPr="00BB47EC">
        <w:rPr>
          <w:rFonts w:cstheme="minorHAnsi"/>
          <w:color w:val="000000"/>
        </w:rPr>
        <w:t>Department of Housing and Urban Development is working on updating the laws relating to housing and the development of mechanisms and tools to work</w:t>
      </w:r>
      <w:r>
        <w:rPr>
          <w:rFonts w:cstheme="minorHAnsi"/>
          <w:color w:val="000000"/>
        </w:rPr>
        <w:t xml:space="preserve">. </w:t>
      </w:r>
      <w:r w:rsidRPr="00BB47EC">
        <w:rPr>
          <w:rFonts w:cstheme="minorHAnsi"/>
          <w:color w:val="000000"/>
        </w:rPr>
        <w:t>With respect to laws and regulations , work is done by the directorates of the ministry to amend some of the laws of housing in order to develop the work and make these laws are an integrated system in line with the economic development and investment . To achieve this end and in order to gain time and get the job done accurately and objectively been the formation of committees</w:t>
      </w:r>
    </w:p>
    <w:p w:rsidR="009638EA" w:rsidRDefault="009638EA">
      <w:pPr>
        <w:rPr>
          <w:b/>
          <w:sz w:val="28"/>
        </w:rPr>
      </w:pPr>
      <w:r>
        <w:rPr>
          <w:b/>
          <w:sz w:val="28"/>
        </w:rPr>
        <w:br w:type="page"/>
      </w:r>
    </w:p>
    <w:p w:rsidR="00825851" w:rsidRDefault="0080312B" w:rsidP="00404013">
      <w:pPr>
        <w:jc w:val="both"/>
        <w:rPr>
          <w:b/>
          <w:sz w:val="28"/>
        </w:rPr>
      </w:pPr>
      <w:r w:rsidRPr="00FB7E00">
        <w:rPr>
          <w:b/>
          <w:sz w:val="28"/>
        </w:rPr>
        <w:lastRenderedPageBreak/>
        <w:t>Judiciary</w:t>
      </w:r>
    </w:p>
    <w:p w:rsidR="004E1819" w:rsidRDefault="004E1819" w:rsidP="004E1819">
      <w:pPr>
        <w:jc w:val="both"/>
        <w:rPr>
          <w:lang w:val="en-US"/>
        </w:rPr>
      </w:pPr>
      <w:r w:rsidRPr="004E1819">
        <w:rPr>
          <w:lang w:val="en-US"/>
        </w:rPr>
        <w:t>The Syrian judicial system is composed of the civil and criminal courts, military courts, security courts, and religious courts, which adjudicate matters of personal status such as divorce and inheritance</w:t>
      </w:r>
      <w:r>
        <w:rPr>
          <w:lang w:val="en-US"/>
        </w:rPr>
        <w:t>.</w:t>
      </w:r>
      <w:r>
        <w:rPr>
          <w:rStyle w:val="FootnoteReference"/>
          <w:lang w:val="en-US"/>
        </w:rPr>
        <w:footnoteReference w:id="11"/>
      </w:r>
    </w:p>
    <w:p w:rsidR="00E60CE7" w:rsidRPr="00E4309A" w:rsidRDefault="004E1819" w:rsidP="00404013">
      <w:pPr>
        <w:jc w:val="both"/>
        <w:rPr>
          <w:lang w:val="en-US"/>
        </w:rPr>
      </w:pPr>
      <w:r>
        <w:rPr>
          <w:lang w:val="en-US"/>
        </w:rPr>
        <w:t>No decisions relating to housing could be sourced.</w:t>
      </w:r>
    </w:p>
    <w:p w:rsidR="001F7286" w:rsidRDefault="001F7286" w:rsidP="00404013">
      <w:pPr>
        <w:jc w:val="both"/>
        <w:rPr>
          <w:b/>
          <w:sz w:val="28"/>
        </w:rPr>
        <w:sectPr w:rsidR="001F7286" w:rsidSect="007C4F87">
          <w:headerReference w:type="default" r:id="rId9"/>
          <w:footerReference w:type="even" r:id="rId10"/>
          <w:footerReference w:type="default" r:id="rId11"/>
          <w:pgSz w:w="11906" w:h="16838"/>
          <w:pgMar w:top="1988" w:right="1440" w:bottom="1440" w:left="1440" w:header="720" w:footer="720" w:gutter="0"/>
          <w:cols w:space="720"/>
          <w:docGrid w:linePitch="360"/>
        </w:sectPr>
      </w:pPr>
    </w:p>
    <w:p w:rsidR="00053462" w:rsidRDefault="00FB7E00" w:rsidP="00404013">
      <w:pPr>
        <w:jc w:val="both"/>
      </w:pPr>
      <w:r w:rsidRPr="00FB7E00">
        <w:rPr>
          <w:b/>
          <w:sz w:val="28"/>
        </w:rPr>
        <w:lastRenderedPageBreak/>
        <w:t>International Conventions</w:t>
      </w:r>
      <w:r w:rsidR="00376665">
        <w:rPr>
          <w:rStyle w:val="FootnoteReference"/>
          <w:b/>
          <w:sz w:val="28"/>
        </w:rPr>
        <w:footnoteReference w:id="12"/>
      </w:r>
    </w:p>
    <w:p w:rsidR="00CE78A6" w:rsidRDefault="00E32CD5" w:rsidP="00404013">
      <w:pPr>
        <w:jc w:val="both"/>
        <w:rPr>
          <w:b/>
          <w:sz w:val="28"/>
        </w:rPr>
      </w:pPr>
      <w:r>
        <w:rPr>
          <w:rFonts w:eastAsia="Times New Roman" w:cstheme="minorHAnsi"/>
          <w:color w:val="000000"/>
          <w:lang w:eastAsia="en-AU"/>
        </w:rPr>
        <w:t>The Syria Arab Republic has ratified the major human rights conventions, including the Covenant on Economic, Social and Cultural Rights, which includes the right to adequate housing as a component of the right to an adequate standard of living</w:t>
      </w:r>
      <w:r w:rsidR="00CE78A6" w:rsidRPr="009638EA">
        <w:t>.</w:t>
      </w:r>
      <w:r w:rsidR="00CE78A6" w:rsidRPr="009638EA">
        <w:rPr>
          <w:rStyle w:val="FootnoteReference"/>
        </w:rPr>
        <w:footnoteReference w:id="13"/>
      </w:r>
    </w:p>
    <w:tbl>
      <w:tblPr>
        <w:tblStyle w:val="LightShading"/>
        <w:tblW w:w="5000" w:type="pct"/>
        <w:tblLook w:val="04A0" w:firstRow="1" w:lastRow="0" w:firstColumn="1" w:lastColumn="0" w:noHBand="0" w:noVBand="1"/>
      </w:tblPr>
      <w:tblGrid>
        <w:gridCol w:w="3981"/>
        <w:gridCol w:w="1246"/>
        <w:gridCol w:w="1451"/>
        <w:gridCol w:w="2564"/>
      </w:tblGrid>
      <w:tr w:rsidR="00F750C2" w:rsidRPr="00C93A1A" w:rsidTr="00F75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F750C2" w:rsidRPr="00C93A1A" w:rsidRDefault="000F4ED8" w:rsidP="00F750C2">
            <w:pPr>
              <w:spacing w:line="276" w:lineRule="auto"/>
              <w:jc w:val="center"/>
              <w:rPr>
                <w:rFonts w:eastAsia="Times New Roman" w:cstheme="minorHAnsi"/>
              </w:rPr>
            </w:pPr>
            <w:hyperlink r:id="rId12" w:tooltip="Click here to sort" w:history="1">
              <w:r w:rsidR="00F750C2" w:rsidRPr="00C93A1A">
                <w:rPr>
                  <w:rStyle w:val="Hyperlink"/>
                  <w:rFonts w:eastAsia="Times New Roman" w:cstheme="minorHAnsi"/>
                  <w:b w:val="0"/>
                  <w:bCs w:val="0"/>
                </w:rPr>
                <w:t>Treaty Description</w:t>
              </w:r>
            </w:hyperlink>
          </w:p>
        </w:tc>
        <w:tc>
          <w:tcPr>
            <w:tcW w:w="0" w:type="auto"/>
            <w:hideMark/>
          </w:tcPr>
          <w:p w:rsidR="00F750C2" w:rsidRPr="00C93A1A" w:rsidRDefault="000F4ED8" w:rsidP="00F750C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3" w:tooltip="Click here to sort" w:history="1">
              <w:r w:rsidR="00F750C2" w:rsidRPr="00C93A1A">
                <w:rPr>
                  <w:rStyle w:val="Hyperlink"/>
                  <w:rFonts w:eastAsia="Times New Roman" w:cstheme="minorHAnsi"/>
                  <w:b w:val="0"/>
                  <w:bCs w:val="0"/>
                </w:rPr>
                <w:t>Treaty Name</w:t>
              </w:r>
            </w:hyperlink>
          </w:p>
        </w:tc>
        <w:tc>
          <w:tcPr>
            <w:tcW w:w="785" w:type="pct"/>
            <w:hideMark/>
          </w:tcPr>
          <w:p w:rsidR="00F750C2" w:rsidRPr="00C93A1A" w:rsidRDefault="000F4ED8" w:rsidP="00F750C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4" w:tooltip="Click here to sort" w:history="1">
              <w:r w:rsidR="00F750C2" w:rsidRPr="00C93A1A">
                <w:rPr>
                  <w:rStyle w:val="Hyperlink"/>
                  <w:rFonts w:eastAsia="Times New Roman" w:cstheme="minorHAnsi"/>
                  <w:b w:val="0"/>
                  <w:bCs w:val="0"/>
                </w:rPr>
                <w:t>Signature Date</w:t>
              </w:r>
            </w:hyperlink>
          </w:p>
        </w:tc>
        <w:tc>
          <w:tcPr>
            <w:tcW w:w="1387" w:type="pct"/>
            <w:hideMark/>
          </w:tcPr>
          <w:p w:rsidR="00F750C2" w:rsidRPr="00C93A1A" w:rsidRDefault="000F4ED8" w:rsidP="00F750C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5" w:tooltip="Click here to sort" w:history="1">
              <w:r w:rsidR="00F750C2" w:rsidRPr="00C93A1A">
                <w:rPr>
                  <w:rStyle w:val="Hyperlink"/>
                  <w:rFonts w:eastAsia="Times New Roman" w:cstheme="minorHAnsi"/>
                  <w:b w:val="0"/>
                  <w:bCs w:val="0"/>
                </w:rPr>
                <w:t>Ratification Date, Accession(a), Succession(d) Date</w:t>
              </w:r>
            </w:hyperlink>
          </w:p>
        </w:tc>
      </w:tr>
      <w:tr w:rsidR="00F750C2" w:rsidRPr="00C93A1A" w:rsidTr="00F75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2C1463" w:rsidRPr="002C1463" w:rsidRDefault="002C1463" w:rsidP="002C1463">
            <w:pPr>
              <w:spacing w:line="276" w:lineRule="auto"/>
              <w:rPr>
                <w:rFonts w:eastAsia="Times New Roman" w:cstheme="minorHAnsi"/>
                <w:b w:val="0"/>
                <w:lang w:val="en-US"/>
              </w:rPr>
            </w:pPr>
            <w:r w:rsidRPr="002C1463">
              <w:rPr>
                <w:rFonts w:eastAsia="Times New Roman" w:cstheme="minorHAnsi"/>
                <w:b w:val="0"/>
                <w:lang w:val="en-US"/>
              </w:rPr>
              <w:t xml:space="preserve">International Covenant on Economic, Social and Cultural </w:t>
            </w:r>
            <w:r w:rsidR="00811F82" w:rsidRPr="002C1463">
              <w:rPr>
                <w:rFonts w:eastAsia="Times New Roman" w:cstheme="minorHAnsi"/>
                <w:b w:val="0"/>
                <w:lang w:val="en-US"/>
              </w:rPr>
              <w:t>Rights</w:t>
            </w:r>
          </w:p>
          <w:p w:rsidR="00F750C2" w:rsidRPr="00C93A1A" w:rsidRDefault="00F750C2" w:rsidP="00F750C2">
            <w:pPr>
              <w:spacing w:line="276" w:lineRule="auto"/>
              <w:rPr>
                <w:rFonts w:eastAsia="Times New Roman" w:cstheme="minorHAnsi"/>
                <w:b w:val="0"/>
              </w:rPr>
            </w:pPr>
          </w:p>
        </w:tc>
        <w:tc>
          <w:tcPr>
            <w:tcW w:w="0" w:type="auto"/>
            <w:hideMark/>
          </w:tcPr>
          <w:p w:rsidR="00F750C2" w:rsidRPr="00C93A1A" w:rsidRDefault="002C1463"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CESCR</w:t>
            </w:r>
          </w:p>
        </w:tc>
        <w:tc>
          <w:tcPr>
            <w:tcW w:w="785" w:type="pct"/>
            <w:hideMark/>
          </w:tcPr>
          <w:p w:rsidR="00F750C2" w:rsidRPr="00C93A1A"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811F82" w:rsidRPr="00811F82" w:rsidRDefault="00F750C2" w:rsidP="00811F82">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US"/>
              </w:rPr>
            </w:pPr>
            <w:r>
              <w:rPr>
                <w:rFonts w:eastAsia="Times New Roman" w:cstheme="minorHAnsi"/>
              </w:rPr>
              <w:t xml:space="preserve"> </w:t>
            </w:r>
            <w:r w:rsidR="00811F82" w:rsidRPr="00811F82">
              <w:rPr>
                <w:rFonts w:eastAsia="Times New Roman" w:cstheme="minorHAnsi"/>
                <w:lang w:val="en-US"/>
              </w:rPr>
              <w:t>21 Apr 1969 a</w:t>
            </w:r>
          </w:p>
          <w:p w:rsidR="00F750C2" w:rsidRPr="00C93A1A"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50C2" w:rsidRPr="00C93A1A" w:rsidTr="00F750C2">
        <w:tc>
          <w:tcPr>
            <w:cnfStyle w:val="001000000000" w:firstRow="0" w:lastRow="0" w:firstColumn="1" w:lastColumn="0" w:oddVBand="0" w:evenVBand="0" w:oddHBand="0" w:evenHBand="0" w:firstRowFirstColumn="0" w:firstRowLastColumn="0" w:lastRowFirstColumn="0" w:lastRowLastColumn="0"/>
            <w:tcW w:w="2154" w:type="pct"/>
            <w:hideMark/>
          </w:tcPr>
          <w:p w:rsidR="00F750C2" w:rsidRPr="00C93A1A" w:rsidRDefault="00F750C2" w:rsidP="00F750C2">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0" w:type="auto"/>
            <w:hideMark/>
          </w:tcPr>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785" w:type="pct"/>
            <w:hideMark/>
          </w:tcPr>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811F82" w:rsidRPr="00811F82" w:rsidRDefault="00F750C2" w:rsidP="00811F82">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US"/>
              </w:rPr>
            </w:pPr>
            <w:r>
              <w:rPr>
                <w:rFonts w:eastAsia="Times New Roman" w:cstheme="minorHAnsi"/>
              </w:rPr>
              <w:t xml:space="preserve"> </w:t>
            </w:r>
            <w:r w:rsidR="00811F82" w:rsidRPr="00811F82">
              <w:rPr>
                <w:rFonts w:eastAsia="Times New Roman" w:cstheme="minorHAnsi"/>
                <w:lang w:val="en-US"/>
              </w:rPr>
              <w:t>21 Apr 1969 (a)</w:t>
            </w:r>
          </w:p>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50C2" w:rsidRPr="00C93A1A" w:rsidTr="00F75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F750C2" w:rsidRPr="00C93A1A" w:rsidRDefault="00F750C2" w:rsidP="00F750C2">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0" w:type="auto"/>
            <w:hideMark/>
          </w:tcPr>
          <w:p w:rsidR="00F750C2" w:rsidRPr="00C93A1A"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785" w:type="pct"/>
            <w:hideMark/>
          </w:tcPr>
          <w:p w:rsidR="00F750C2" w:rsidRPr="00414B78"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p w:rsidR="00F750C2" w:rsidRPr="00414B78"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87" w:type="pct"/>
            <w:hideMark/>
          </w:tcPr>
          <w:p w:rsidR="00811F82" w:rsidRPr="00811F82" w:rsidRDefault="00811F82" w:rsidP="00811F8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val="en-US"/>
              </w:rPr>
            </w:pPr>
            <w:r w:rsidRPr="00811F82">
              <w:rPr>
                <w:rFonts w:eastAsia="Times New Roman" w:cstheme="minorHAnsi"/>
                <w:lang w:val="en-US"/>
              </w:rPr>
              <w:t>28 Mar 2003 (a)</w:t>
            </w:r>
          </w:p>
          <w:p w:rsidR="00F750C2" w:rsidRPr="00414B78"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50C2" w:rsidRPr="00C93A1A" w:rsidTr="00F750C2">
        <w:tc>
          <w:tcPr>
            <w:cnfStyle w:val="001000000000" w:firstRow="0" w:lastRow="0" w:firstColumn="1" w:lastColumn="0" w:oddVBand="0" w:evenVBand="0" w:oddHBand="0" w:evenHBand="0" w:firstRowFirstColumn="0" w:firstRowLastColumn="0" w:lastRowFirstColumn="0" w:lastRowLastColumn="0"/>
            <w:tcW w:w="2154" w:type="pct"/>
            <w:hideMark/>
          </w:tcPr>
          <w:p w:rsidR="00F750C2" w:rsidRPr="00C93A1A" w:rsidRDefault="00F750C2" w:rsidP="00F750C2">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0" w:type="auto"/>
            <w:hideMark/>
          </w:tcPr>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785" w:type="pct"/>
            <w:hideMark/>
          </w:tcPr>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811F82" w:rsidRPr="00811F82" w:rsidRDefault="00811F82" w:rsidP="00811F8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US"/>
              </w:rPr>
            </w:pPr>
            <w:r w:rsidRPr="00811F82">
              <w:rPr>
                <w:rFonts w:ascii="Arial" w:eastAsia="Times New Roman" w:hAnsi="Arial" w:cs="Times New Roman"/>
                <w:color w:val="000000"/>
                <w:sz w:val="18"/>
                <w:szCs w:val="18"/>
                <w:lang w:val="en-US"/>
              </w:rPr>
              <w:br/>
            </w:r>
            <w:r w:rsidRPr="00811F82">
              <w:rPr>
                <w:rFonts w:eastAsia="Times New Roman" w:cs="Times New Roman"/>
                <w:color w:val="000000"/>
                <w:szCs w:val="18"/>
                <w:lang w:val="en-US"/>
              </w:rPr>
              <w:t>21 Apr 1969 (a)</w:t>
            </w:r>
          </w:p>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50C2" w:rsidRPr="00C93A1A" w:rsidTr="00F75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2C1463" w:rsidRPr="002C1463" w:rsidRDefault="002C1463" w:rsidP="002C1463">
            <w:pPr>
              <w:spacing w:line="276" w:lineRule="auto"/>
              <w:rPr>
                <w:rFonts w:eastAsia="Times New Roman" w:cstheme="minorHAnsi"/>
                <w:b w:val="0"/>
                <w:lang w:val="en-US"/>
              </w:rPr>
            </w:pPr>
            <w:r w:rsidRPr="002C1463">
              <w:rPr>
                <w:rFonts w:eastAsia="Times New Roman" w:cstheme="minorHAnsi"/>
                <w:b w:val="0"/>
                <w:lang w:val="en-US"/>
              </w:rPr>
              <w:t xml:space="preserve">Convention against Torture and Other Cruel, Inhuman or Degrading Treatment or </w:t>
            </w:r>
            <w:r w:rsidR="00811F82" w:rsidRPr="002C1463">
              <w:rPr>
                <w:rFonts w:eastAsia="Times New Roman" w:cstheme="minorHAnsi"/>
                <w:b w:val="0"/>
                <w:lang w:val="en-US"/>
              </w:rPr>
              <w:t>Punishment</w:t>
            </w:r>
          </w:p>
          <w:p w:rsidR="00F750C2" w:rsidRPr="00C93A1A" w:rsidRDefault="00F750C2" w:rsidP="00F750C2">
            <w:pPr>
              <w:spacing w:line="276" w:lineRule="auto"/>
              <w:rPr>
                <w:rFonts w:eastAsia="Times New Roman" w:cstheme="minorHAnsi"/>
                <w:b w:val="0"/>
              </w:rPr>
            </w:pPr>
          </w:p>
        </w:tc>
        <w:tc>
          <w:tcPr>
            <w:tcW w:w="0" w:type="auto"/>
            <w:hideMark/>
          </w:tcPr>
          <w:p w:rsidR="00F750C2" w:rsidRPr="00C93A1A" w:rsidRDefault="002C1463"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CAT</w:t>
            </w:r>
          </w:p>
        </w:tc>
        <w:tc>
          <w:tcPr>
            <w:tcW w:w="785" w:type="pct"/>
            <w:hideMark/>
          </w:tcPr>
          <w:p w:rsidR="00F750C2" w:rsidRPr="00C93A1A"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811F82" w:rsidRPr="00811F82" w:rsidRDefault="00811F82" w:rsidP="00811F8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val="en-US"/>
              </w:rPr>
            </w:pPr>
            <w:r w:rsidRPr="00811F82">
              <w:rPr>
                <w:rFonts w:eastAsia="Times New Roman" w:cstheme="minorHAnsi"/>
                <w:lang w:val="en-US"/>
              </w:rPr>
              <w:t>19 Aug 2004 (a)</w:t>
            </w:r>
          </w:p>
          <w:p w:rsidR="00F750C2" w:rsidRPr="007E513C"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50C2" w:rsidRPr="00C93A1A" w:rsidTr="00F750C2">
        <w:tc>
          <w:tcPr>
            <w:cnfStyle w:val="001000000000" w:firstRow="0" w:lastRow="0" w:firstColumn="1" w:lastColumn="0" w:oddVBand="0" w:evenVBand="0" w:oddHBand="0" w:evenHBand="0" w:firstRowFirstColumn="0" w:firstRowLastColumn="0" w:lastRowFirstColumn="0" w:lastRowLastColumn="0"/>
            <w:tcW w:w="2154" w:type="pct"/>
            <w:hideMark/>
          </w:tcPr>
          <w:p w:rsidR="00F750C2" w:rsidRPr="00811F82" w:rsidRDefault="002C1463" w:rsidP="00E32CD5">
            <w:pPr>
              <w:spacing w:line="276" w:lineRule="auto"/>
              <w:rPr>
                <w:rFonts w:eastAsia="Times New Roman" w:cstheme="minorHAnsi"/>
                <w:b w:val="0"/>
                <w:lang w:val="en-US"/>
              </w:rPr>
            </w:pPr>
            <w:r w:rsidRPr="002C1463">
              <w:rPr>
                <w:rFonts w:eastAsia="Times New Roman" w:cstheme="minorHAnsi"/>
                <w:b w:val="0"/>
                <w:lang w:val="en-US"/>
              </w:rPr>
              <w:t>International Convention on the Protection of the Rights of All Migrant Worker</w:t>
            </w:r>
            <w:r w:rsidR="00811F82">
              <w:rPr>
                <w:rFonts w:eastAsia="Times New Roman" w:cstheme="minorHAnsi"/>
                <w:b w:val="0"/>
                <w:lang w:val="en-US"/>
              </w:rPr>
              <w:t>s and Members of their Families</w:t>
            </w:r>
            <w:r w:rsidR="00811F82" w:rsidRPr="002C1463">
              <w:rPr>
                <w:rFonts w:eastAsia="Times New Roman" w:cstheme="minorHAnsi"/>
                <w:b w:val="0"/>
                <w:lang w:val="en-US"/>
              </w:rPr>
              <w:t xml:space="preserve">: </w:t>
            </w:r>
          </w:p>
        </w:tc>
        <w:tc>
          <w:tcPr>
            <w:tcW w:w="0" w:type="auto"/>
            <w:hideMark/>
          </w:tcPr>
          <w:p w:rsidR="00F750C2" w:rsidRPr="00C93A1A" w:rsidRDefault="00E32CD5"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CMW </w:t>
            </w:r>
          </w:p>
        </w:tc>
        <w:tc>
          <w:tcPr>
            <w:tcW w:w="785" w:type="pct"/>
            <w:hideMark/>
          </w:tcPr>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811F82" w:rsidRPr="00811F82" w:rsidRDefault="00811F82" w:rsidP="00811F8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val="en-US"/>
              </w:rPr>
            </w:pPr>
            <w:r w:rsidRPr="00811F82">
              <w:rPr>
                <w:rFonts w:eastAsia="Times New Roman" w:cstheme="minorHAnsi"/>
                <w:lang w:val="en-US"/>
              </w:rPr>
              <w:t>02 Jun 2005 (a)</w:t>
            </w:r>
          </w:p>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50C2" w:rsidRPr="00C93A1A" w:rsidTr="00F75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F750C2" w:rsidRPr="00C93A1A" w:rsidRDefault="00194F8B" w:rsidP="00F750C2">
            <w:pPr>
              <w:spacing w:line="276" w:lineRule="auto"/>
              <w:rPr>
                <w:rFonts w:eastAsia="Times New Roman" w:cstheme="minorHAnsi"/>
                <w:b w:val="0"/>
              </w:rPr>
            </w:pPr>
            <w:r>
              <w:rPr>
                <w:rFonts w:eastAsia="Times New Roman" w:cstheme="minorHAnsi"/>
                <w:b w:val="0"/>
              </w:rPr>
              <w:t>Convention on the Rights of the Child</w:t>
            </w:r>
          </w:p>
        </w:tc>
        <w:tc>
          <w:tcPr>
            <w:tcW w:w="0" w:type="auto"/>
            <w:hideMark/>
          </w:tcPr>
          <w:p w:rsidR="00F750C2" w:rsidRPr="00C93A1A" w:rsidRDefault="00194F8B"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CRC</w:t>
            </w:r>
          </w:p>
        </w:tc>
        <w:tc>
          <w:tcPr>
            <w:tcW w:w="785" w:type="pct"/>
            <w:hideMark/>
          </w:tcPr>
          <w:p w:rsidR="00811F82" w:rsidRPr="00811F82" w:rsidRDefault="00F750C2" w:rsidP="00811F82">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US"/>
              </w:rPr>
            </w:pPr>
            <w:r>
              <w:rPr>
                <w:rFonts w:eastAsia="Times New Roman" w:cstheme="minorHAnsi"/>
              </w:rPr>
              <w:t xml:space="preserve"> </w:t>
            </w:r>
            <w:r w:rsidR="00811F82" w:rsidRPr="00811F82">
              <w:rPr>
                <w:rFonts w:eastAsia="Times New Roman" w:cstheme="minorHAnsi"/>
                <w:lang w:val="en-US"/>
              </w:rPr>
              <w:t>18 Sep 1990</w:t>
            </w:r>
          </w:p>
          <w:p w:rsidR="00F750C2" w:rsidRPr="00C93A1A"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87" w:type="pct"/>
            <w:hideMark/>
          </w:tcPr>
          <w:p w:rsidR="00811F82" w:rsidRPr="00811F82" w:rsidRDefault="00194F8B" w:rsidP="00811F82">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US"/>
              </w:rPr>
            </w:pPr>
            <w:r>
              <w:rPr>
                <w:rFonts w:eastAsia="Times New Roman" w:cstheme="minorHAnsi"/>
              </w:rPr>
              <w:t xml:space="preserve"> </w:t>
            </w:r>
            <w:r w:rsidR="00811F82" w:rsidRPr="00811F82">
              <w:rPr>
                <w:rFonts w:eastAsia="Times New Roman" w:cstheme="minorHAnsi"/>
                <w:lang w:val="en-US"/>
              </w:rPr>
              <w:t>18 Sep 1990</w:t>
            </w:r>
          </w:p>
          <w:p w:rsidR="00F750C2" w:rsidRPr="00C93A1A" w:rsidRDefault="00F750C2" w:rsidP="00F750C2">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50C2" w:rsidRPr="00C93A1A" w:rsidTr="00F750C2">
        <w:tc>
          <w:tcPr>
            <w:cnfStyle w:val="001000000000" w:firstRow="0" w:lastRow="0" w:firstColumn="1" w:lastColumn="0" w:oddVBand="0" w:evenVBand="0" w:oddHBand="0" w:evenHBand="0" w:firstRowFirstColumn="0" w:firstRowLastColumn="0" w:lastRowFirstColumn="0" w:lastRowLastColumn="0"/>
            <w:tcW w:w="2154" w:type="pct"/>
            <w:hideMark/>
          </w:tcPr>
          <w:p w:rsidR="00F750C2" w:rsidRPr="00C93A1A" w:rsidRDefault="00F750C2" w:rsidP="00F750C2">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0" w:type="auto"/>
            <w:hideMark/>
          </w:tcPr>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785" w:type="pct"/>
            <w:hideMark/>
          </w:tcPr>
          <w:p w:rsidR="00811F82" w:rsidRPr="00811F82" w:rsidRDefault="00F750C2" w:rsidP="00811F82">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US"/>
              </w:rPr>
            </w:pPr>
            <w:r>
              <w:rPr>
                <w:rFonts w:eastAsia="Times New Roman" w:cstheme="minorHAnsi"/>
              </w:rPr>
              <w:t xml:space="preserve"> </w:t>
            </w:r>
            <w:r w:rsidR="00811F82" w:rsidRPr="00811F82">
              <w:rPr>
                <w:rFonts w:eastAsia="Times New Roman" w:cstheme="minorHAnsi"/>
                <w:lang w:val="en-US"/>
              </w:rPr>
              <w:t>30 Mar 2007</w:t>
            </w:r>
          </w:p>
          <w:p w:rsidR="00F750C2" w:rsidRPr="00C93A1A" w:rsidRDefault="00F750C2" w:rsidP="009A51F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87" w:type="pct"/>
            <w:hideMark/>
          </w:tcPr>
          <w:p w:rsidR="00811F82" w:rsidRPr="00811F82" w:rsidRDefault="00F750C2" w:rsidP="00811F82">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US"/>
              </w:rPr>
            </w:pPr>
            <w:r>
              <w:rPr>
                <w:rFonts w:eastAsia="Times New Roman" w:cstheme="minorHAnsi"/>
              </w:rPr>
              <w:t xml:space="preserve"> </w:t>
            </w:r>
            <w:r w:rsidR="00811F82" w:rsidRPr="00811F82">
              <w:rPr>
                <w:rFonts w:eastAsia="Times New Roman" w:cstheme="minorHAnsi"/>
                <w:lang w:val="en-US"/>
              </w:rPr>
              <w:t>10 Jul 2009</w:t>
            </w:r>
          </w:p>
          <w:p w:rsidR="00F750C2" w:rsidRPr="00C93A1A" w:rsidRDefault="00F750C2" w:rsidP="00F750C2">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F750C2" w:rsidRDefault="00F750C2" w:rsidP="00404013">
      <w:pPr>
        <w:jc w:val="both"/>
        <w:rPr>
          <w:b/>
          <w:sz w:val="28"/>
        </w:rPr>
      </w:pPr>
    </w:p>
    <w:p w:rsidR="006356EB" w:rsidRDefault="006356EB" w:rsidP="00404013">
      <w:pPr>
        <w:jc w:val="both"/>
        <w:rPr>
          <w:b/>
          <w:sz w:val="28"/>
        </w:rPr>
      </w:pPr>
    </w:p>
    <w:p w:rsidR="006356EB" w:rsidRDefault="006356EB" w:rsidP="00404013">
      <w:pPr>
        <w:jc w:val="both"/>
        <w:rPr>
          <w:b/>
          <w:sz w:val="28"/>
        </w:rPr>
      </w:pPr>
    </w:p>
    <w:p w:rsidR="006356EB" w:rsidRDefault="006356EB" w:rsidP="00404013">
      <w:pPr>
        <w:jc w:val="both"/>
        <w:rPr>
          <w:b/>
          <w:sz w:val="28"/>
        </w:rPr>
      </w:pPr>
    </w:p>
    <w:p w:rsidR="009638EA" w:rsidRDefault="009638EA">
      <w:pPr>
        <w:rPr>
          <w:b/>
          <w:sz w:val="28"/>
        </w:rPr>
      </w:pPr>
      <w:r>
        <w:rPr>
          <w:b/>
          <w:sz w:val="28"/>
        </w:rPr>
        <w:br w:type="page"/>
      </w:r>
    </w:p>
    <w:p w:rsidR="00860FA2" w:rsidRPr="00437199" w:rsidRDefault="002E7D99" w:rsidP="00404013">
      <w:pPr>
        <w:jc w:val="both"/>
        <w:rPr>
          <w:b/>
          <w:sz w:val="28"/>
        </w:rPr>
      </w:pPr>
      <w:r w:rsidRPr="00437199">
        <w:rPr>
          <w:b/>
          <w:sz w:val="28"/>
        </w:rPr>
        <w:lastRenderedPageBreak/>
        <w:t>UN</w:t>
      </w:r>
      <w:r w:rsidR="00E60CE7">
        <w:rPr>
          <w:b/>
          <w:sz w:val="28"/>
        </w:rPr>
        <w:t xml:space="preserve"> </w:t>
      </w:r>
      <w:r w:rsidR="00CC30D1">
        <w:rPr>
          <w:b/>
          <w:sz w:val="28"/>
        </w:rPr>
        <w:t xml:space="preserve">Review and </w:t>
      </w:r>
      <w:r w:rsidR="00437199" w:rsidRPr="00437199">
        <w:rPr>
          <w:b/>
          <w:sz w:val="28"/>
        </w:rPr>
        <w:t>Agencies</w:t>
      </w:r>
      <w:r w:rsidR="00CC30D1">
        <w:rPr>
          <w:b/>
          <w:sz w:val="28"/>
        </w:rPr>
        <w:t xml:space="preserve"> </w:t>
      </w:r>
    </w:p>
    <w:p w:rsidR="00437199" w:rsidRPr="00437199" w:rsidRDefault="00E60CE7" w:rsidP="00404013">
      <w:pPr>
        <w:jc w:val="both"/>
      </w:pPr>
      <w:r>
        <w:rPr>
          <w:rFonts w:cstheme="minorHAnsi"/>
          <w:b/>
          <w:i/>
        </w:rPr>
        <w:t>Universal Periodic Review</w:t>
      </w:r>
      <w:r w:rsidR="00B255AC">
        <w:rPr>
          <w:rFonts w:cstheme="minorHAnsi"/>
          <w:b/>
          <w:i/>
        </w:rPr>
        <w:t xml:space="preserve"> (2008-2011)</w:t>
      </w:r>
      <w:r>
        <w:rPr>
          <w:rStyle w:val="FootnoteReference"/>
          <w:rFonts w:cstheme="minorHAnsi"/>
          <w:b/>
          <w:i/>
        </w:rPr>
        <w:footnoteReference w:id="14"/>
      </w:r>
    </w:p>
    <w:p w:rsidR="00B41107" w:rsidRPr="00503880" w:rsidRDefault="000B5A30" w:rsidP="00404013">
      <w:pPr>
        <w:jc w:val="both"/>
        <w:rPr>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B255AC" w:rsidRPr="009638EA" w:rsidRDefault="00B255AC" w:rsidP="00404013">
      <w:pPr>
        <w:jc w:val="both"/>
        <w:rPr>
          <w:rFonts w:cstheme="minorHAnsi"/>
          <w:u w:val="single"/>
        </w:rPr>
      </w:pPr>
      <w:r w:rsidRPr="009638EA">
        <w:rPr>
          <w:rFonts w:cstheme="minorHAnsi"/>
          <w:u w:val="single"/>
        </w:rPr>
        <w:t>First UPR 2</w:t>
      </w:r>
      <w:r w:rsidR="00015318" w:rsidRPr="009638EA">
        <w:rPr>
          <w:rFonts w:cstheme="minorHAnsi"/>
          <w:u w:val="single"/>
        </w:rPr>
        <w:t>011</w:t>
      </w:r>
    </w:p>
    <w:p w:rsidR="00015318" w:rsidRDefault="00015318" w:rsidP="00404013">
      <w:pPr>
        <w:jc w:val="both"/>
        <w:rPr>
          <w:rFonts w:cstheme="minorHAnsi"/>
        </w:rPr>
      </w:pPr>
      <w:r>
        <w:rPr>
          <w:rFonts w:cstheme="minorHAnsi"/>
        </w:rPr>
        <w:t>Sy</w:t>
      </w:r>
      <w:r w:rsidRPr="00015318">
        <w:rPr>
          <w:rFonts w:cstheme="minorHAnsi"/>
        </w:rPr>
        <w:t>ria was reviewed in the first UPR cycle in the 12</w:t>
      </w:r>
      <w:r w:rsidRPr="00015318">
        <w:rPr>
          <w:rFonts w:cstheme="minorHAnsi"/>
          <w:vertAlign w:val="superscript"/>
        </w:rPr>
        <w:t>th</w:t>
      </w:r>
      <w:r w:rsidRPr="00015318">
        <w:rPr>
          <w:rFonts w:cstheme="minorHAnsi"/>
        </w:rPr>
        <w:t xml:space="preserve"> Session in 2011</w:t>
      </w:r>
      <w:r w:rsidR="005A1868">
        <w:rPr>
          <w:rFonts w:cstheme="minorHAnsi"/>
        </w:rPr>
        <w:t>.</w:t>
      </w:r>
    </w:p>
    <w:p w:rsidR="00D947DA" w:rsidRPr="009638EA" w:rsidRDefault="000B20C8" w:rsidP="00404013">
      <w:pPr>
        <w:jc w:val="both"/>
        <w:rPr>
          <w:rFonts w:cstheme="minorHAnsi"/>
          <w:i/>
        </w:rPr>
      </w:pPr>
      <w:r w:rsidRPr="009638EA">
        <w:rPr>
          <w:rFonts w:cstheme="minorHAnsi"/>
          <w:i/>
        </w:rPr>
        <w:t>The National Report, 2011</w:t>
      </w:r>
      <w:r w:rsidR="00E4309A" w:rsidRPr="009638EA">
        <w:rPr>
          <w:rStyle w:val="FootnoteReference"/>
          <w:rFonts w:cstheme="minorHAnsi"/>
          <w:i/>
        </w:rPr>
        <w:footnoteReference w:id="15"/>
      </w:r>
    </w:p>
    <w:p w:rsidR="00397134" w:rsidRDefault="00397134" w:rsidP="00397134">
      <w:pPr>
        <w:jc w:val="both"/>
        <w:rPr>
          <w:lang w:val="en-US"/>
        </w:rPr>
      </w:pPr>
      <w:r w:rsidRPr="00397134">
        <w:rPr>
          <w:lang w:val="en-US"/>
        </w:rPr>
        <w:t>The Government is taking action to construct more housing of different kinds: housing for young people; workers’ housing; social housing; and housing cooperatives. It also seeks to ensure that housing projects are completed in record time to meet the growing needs of the population.</w:t>
      </w:r>
    </w:p>
    <w:p w:rsidR="00151F13" w:rsidRPr="009638EA" w:rsidRDefault="00151F13" w:rsidP="00151F13">
      <w:pPr>
        <w:jc w:val="both"/>
        <w:rPr>
          <w:i/>
          <w:lang w:val="en-GB"/>
        </w:rPr>
      </w:pPr>
      <w:r w:rsidRPr="009638EA">
        <w:rPr>
          <w:i/>
          <w:lang w:val="en-GB"/>
        </w:rPr>
        <w:t>Summary of Stakeholder Information</w:t>
      </w:r>
      <w:r w:rsidR="00E4309A" w:rsidRPr="009638EA">
        <w:rPr>
          <w:rStyle w:val="FootnoteReference"/>
          <w:i/>
          <w:lang w:val="en-GB"/>
        </w:rPr>
        <w:footnoteReference w:id="16"/>
      </w:r>
    </w:p>
    <w:p w:rsidR="009638EA" w:rsidRDefault="00151F13" w:rsidP="00151F13">
      <w:pPr>
        <w:jc w:val="both"/>
      </w:pPr>
      <w:r w:rsidRPr="00194F4F">
        <w:t>Habitat International Coalition (HIC) noted that stateless Kurds are unable to own land, housing or businesses, which impedes their rights to an adequate standard of living</w:t>
      </w:r>
      <w:r>
        <w:rPr>
          <w:rStyle w:val="EndnoteReference"/>
        </w:rPr>
        <w:endnoteReference w:id="1"/>
      </w:r>
      <w:r w:rsidRPr="00194F4F">
        <w:t>. It indicated that Decree No. 49 of 2008 relating to the restrictions on the use of land, has led both directly and indirectly to the deprivation of Kurdish citizens’ rights to adequate housing, property, and land as a source of livelihood and culture.</w:t>
      </w:r>
      <w:r>
        <w:rPr>
          <w:rStyle w:val="EndnoteReference"/>
        </w:rPr>
        <w:endnoteReference w:id="2"/>
      </w:r>
      <w:r w:rsidRPr="00194F4F">
        <w:t xml:space="preserve"> HIC concluded that over more than half a century, various measures had cut down on the livelihood resources of Kurds and impoverished them further.</w:t>
      </w:r>
      <w:r>
        <w:rPr>
          <w:rStyle w:val="EndnoteReference"/>
        </w:rPr>
        <w:endnoteReference w:id="3"/>
      </w:r>
      <w:r w:rsidRPr="00194F4F">
        <w:t xml:space="preserve"> According to Support Kurds in Syria (SKS), Kurds living in their homelands have suffered abuses of their land rights which have impacted on their ability to feed their families. SKS noted that stateless Kurds are majorly disadvantaged as a particular social group</w:t>
      </w:r>
      <w:r w:rsidR="00403AE2">
        <w:t>.</w:t>
      </w:r>
    </w:p>
    <w:p w:rsidR="00403AE2" w:rsidRPr="009638EA" w:rsidRDefault="00403AE2" w:rsidP="00151F13">
      <w:pPr>
        <w:jc w:val="both"/>
        <w:rPr>
          <w:i/>
        </w:rPr>
      </w:pPr>
      <w:r w:rsidRPr="009638EA">
        <w:rPr>
          <w:i/>
        </w:rPr>
        <w:t>Report of the Working Group</w:t>
      </w:r>
      <w:r w:rsidR="00523E1B" w:rsidRPr="009638EA">
        <w:rPr>
          <w:rStyle w:val="FootnoteReference"/>
          <w:i/>
        </w:rPr>
        <w:footnoteReference w:id="17"/>
      </w:r>
    </w:p>
    <w:p w:rsidR="00403AE2" w:rsidRDefault="00CF4A1F" w:rsidP="00403AE2">
      <w:pPr>
        <w:jc w:val="both"/>
        <w:rPr>
          <w:lang w:val="en-US"/>
        </w:rPr>
      </w:pPr>
      <w:r>
        <w:rPr>
          <w:lang w:val="en-US"/>
        </w:rPr>
        <w:t>‘Recommendation 100.23: E</w:t>
      </w:r>
      <w:r w:rsidR="00403AE2" w:rsidRPr="00403AE2">
        <w:rPr>
          <w:lang w:val="en-US"/>
        </w:rPr>
        <w:t xml:space="preserve">xpedite its reforms such as measures to </w:t>
      </w:r>
      <w:r w:rsidR="00403AE2" w:rsidRPr="009638EA">
        <w:rPr>
          <w:lang w:val="en-US"/>
        </w:rPr>
        <w:t>raise citizens’ living standards</w:t>
      </w:r>
      <w:r w:rsidR="00403AE2" w:rsidRPr="00403AE2">
        <w:rPr>
          <w:lang w:val="en-US"/>
        </w:rPr>
        <w:t xml:space="preserve"> and duly take into account the aspirations of the people of Syria in the reform process (Thailand);</w:t>
      </w:r>
      <w:r>
        <w:rPr>
          <w:lang w:val="en-US"/>
        </w:rPr>
        <w:t>’</w:t>
      </w:r>
    </w:p>
    <w:p w:rsidR="008166E6" w:rsidRPr="009638EA" w:rsidRDefault="008166E6" w:rsidP="008166E6">
      <w:pPr>
        <w:jc w:val="both"/>
        <w:rPr>
          <w:rFonts w:cstheme="minorHAnsi"/>
          <w:u w:val="single"/>
        </w:rPr>
      </w:pPr>
      <w:r w:rsidRPr="009638EA">
        <w:rPr>
          <w:rFonts w:cstheme="minorHAnsi"/>
          <w:u w:val="single"/>
        </w:rPr>
        <w:lastRenderedPageBreak/>
        <w:t>Second UPR 2016</w:t>
      </w:r>
    </w:p>
    <w:p w:rsidR="008166E6" w:rsidRPr="00015318" w:rsidRDefault="008166E6" w:rsidP="008166E6">
      <w:pPr>
        <w:jc w:val="both"/>
        <w:rPr>
          <w:rFonts w:cstheme="minorHAnsi"/>
        </w:rPr>
      </w:pPr>
      <w:r w:rsidRPr="00015318">
        <w:rPr>
          <w:rFonts w:cstheme="minorHAnsi"/>
        </w:rPr>
        <w:t>Syria will be reviewed in the second UPR cycle in the 26</w:t>
      </w:r>
      <w:r w:rsidRPr="00015318">
        <w:rPr>
          <w:rFonts w:cstheme="minorHAnsi"/>
          <w:vertAlign w:val="superscript"/>
        </w:rPr>
        <w:t>th</w:t>
      </w:r>
      <w:r w:rsidRPr="00015318">
        <w:rPr>
          <w:rFonts w:cstheme="minorHAnsi"/>
        </w:rPr>
        <w:t xml:space="preserve"> Session in 2016</w:t>
      </w:r>
      <w:r>
        <w:rPr>
          <w:rFonts w:cstheme="minorHAnsi"/>
        </w:rPr>
        <w:t>.</w:t>
      </w:r>
    </w:p>
    <w:p w:rsidR="009638EA" w:rsidRPr="00403AE2" w:rsidRDefault="009638EA" w:rsidP="00403AE2">
      <w:pPr>
        <w:jc w:val="both"/>
        <w:rPr>
          <w:lang w:val="en-US"/>
        </w:rPr>
      </w:pPr>
    </w:p>
    <w:p w:rsidR="00503880" w:rsidRPr="009638EA" w:rsidRDefault="00437199" w:rsidP="009638EA">
      <w:pPr>
        <w:pStyle w:val="NoSpacing"/>
        <w:rPr>
          <w:b/>
          <w:i/>
        </w:rPr>
      </w:pPr>
      <w:r w:rsidRPr="009638EA">
        <w:rPr>
          <w:b/>
          <w:i/>
        </w:rPr>
        <w:t>Committee on Economic, Social and Cultural Rights</w:t>
      </w:r>
      <w:r w:rsidR="00503880" w:rsidRPr="009638EA">
        <w:rPr>
          <w:b/>
          <w:i/>
        </w:rPr>
        <w:t xml:space="preserve"> (Twenty-sixth (extraordinary) session</w:t>
      </w:r>
    </w:p>
    <w:p w:rsidR="00437199" w:rsidRDefault="00503880" w:rsidP="009638EA">
      <w:pPr>
        <w:pStyle w:val="NoSpacing"/>
        <w:rPr>
          <w:b/>
          <w:i/>
        </w:rPr>
      </w:pPr>
      <w:r w:rsidRPr="009638EA">
        <w:rPr>
          <w:b/>
          <w:i/>
        </w:rPr>
        <w:t>13-31 August 2001)</w:t>
      </w:r>
      <w:r w:rsidR="009D5E64" w:rsidRPr="009638EA">
        <w:rPr>
          <w:rStyle w:val="FootnoteReference"/>
          <w:rFonts w:cstheme="minorHAnsi"/>
          <w:b/>
          <w:bCs/>
          <w:i/>
        </w:rPr>
        <w:footnoteReference w:id="18"/>
      </w:r>
    </w:p>
    <w:p w:rsidR="009638EA" w:rsidRPr="009638EA" w:rsidRDefault="009638EA" w:rsidP="009638EA">
      <w:pPr>
        <w:pStyle w:val="NoSpacing"/>
        <w:rPr>
          <w:b/>
          <w:i/>
        </w:rPr>
      </w:pPr>
    </w:p>
    <w:p w:rsidR="00CE3053" w:rsidRPr="00CE3053" w:rsidRDefault="00CE3053" w:rsidP="00404013">
      <w:pPr>
        <w:jc w:val="both"/>
        <w:rPr>
          <w:rFonts w:cstheme="minorHAnsi"/>
          <w:bCs/>
        </w:rPr>
      </w:pPr>
      <w:r>
        <w:rPr>
          <w:rFonts w:cstheme="minorHAnsi"/>
          <w:bCs/>
          <w:i/>
        </w:rPr>
        <w:t>The Committee specifically reviews states that have ratified the ICESCR on their compliance with the rights enshrined in it, including the Right to Adequate Housing.</w:t>
      </w:r>
    </w:p>
    <w:p w:rsidR="00025945" w:rsidRDefault="00025945" w:rsidP="00025945">
      <w:pPr>
        <w:jc w:val="both"/>
        <w:rPr>
          <w:rFonts w:cstheme="minorHAnsi"/>
        </w:rPr>
      </w:pPr>
      <w:r w:rsidRPr="00025945">
        <w:rPr>
          <w:rFonts w:cstheme="minorHAnsi"/>
        </w:rPr>
        <w:t>The Committee urges the State party to provide</w:t>
      </w:r>
      <w:r>
        <w:rPr>
          <w:rFonts w:cstheme="minorHAnsi"/>
        </w:rPr>
        <w:t xml:space="preserve"> detailed information about the</w:t>
      </w:r>
      <w:r w:rsidR="00523E1B">
        <w:rPr>
          <w:rFonts w:cstheme="minorHAnsi"/>
        </w:rPr>
        <w:t xml:space="preserve"> </w:t>
      </w:r>
      <w:r w:rsidRPr="00025945">
        <w:rPr>
          <w:rFonts w:cstheme="minorHAnsi"/>
        </w:rPr>
        <w:t>housing situation in the Syrian Arab Republic, including the provision of social housing for</w:t>
      </w:r>
      <w:r w:rsidR="00523E1B">
        <w:rPr>
          <w:rFonts w:cstheme="minorHAnsi"/>
        </w:rPr>
        <w:t xml:space="preserve"> </w:t>
      </w:r>
      <w:r w:rsidRPr="00025945">
        <w:rPr>
          <w:rFonts w:cstheme="minorHAnsi"/>
        </w:rPr>
        <w:t>lower income</w:t>
      </w:r>
      <w:r w:rsidRPr="00CF4A1F">
        <w:rPr>
          <w:rFonts w:cstheme="minorHAnsi"/>
        </w:rPr>
        <w:t xml:space="preserve">, </w:t>
      </w:r>
      <w:r w:rsidRPr="009638EA">
        <w:rPr>
          <w:rFonts w:cstheme="minorHAnsi"/>
        </w:rPr>
        <w:t>disadvantaged and marginalized groups,</w:t>
      </w:r>
      <w:r w:rsidRPr="00CF4A1F">
        <w:rPr>
          <w:rFonts w:cstheme="minorHAnsi"/>
        </w:rPr>
        <w:t xml:space="preserve"> the </w:t>
      </w:r>
      <w:r w:rsidRPr="009638EA">
        <w:rPr>
          <w:rFonts w:cstheme="minorHAnsi"/>
        </w:rPr>
        <w:t>number of forced evictions</w:t>
      </w:r>
      <w:r w:rsidRPr="00CF4A1F">
        <w:rPr>
          <w:rFonts w:cstheme="minorHAnsi"/>
        </w:rPr>
        <w:t xml:space="preserve"> </w:t>
      </w:r>
      <w:r w:rsidRPr="00025945">
        <w:rPr>
          <w:rFonts w:cstheme="minorHAnsi"/>
        </w:rPr>
        <w:t>and</w:t>
      </w:r>
      <w:r w:rsidR="00523E1B">
        <w:rPr>
          <w:rFonts w:cstheme="minorHAnsi"/>
        </w:rPr>
        <w:t xml:space="preserve"> </w:t>
      </w:r>
      <w:r w:rsidRPr="00025945">
        <w:rPr>
          <w:rFonts w:cstheme="minorHAnsi"/>
        </w:rPr>
        <w:t>whether those evictions comply with the guidelines set out by the Committee in its general</w:t>
      </w:r>
      <w:r>
        <w:rPr>
          <w:rFonts w:cstheme="minorHAnsi"/>
        </w:rPr>
        <w:t xml:space="preserve"> </w:t>
      </w:r>
      <w:r w:rsidRPr="00025945">
        <w:rPr>
          <w:rFonts w:cstheme="minorHAnsi"/>
        </w:rPr>
        <w:t xml:space="preserve">comment No. 7. </w:t>
      </w:r>
    </w:p>
    <w:p w:rsidR="006356EB" w:rsidRDefault="00025945" w:rsidP="00025945">
      <w:pPr>
        <w:jc w:val="both"/>
        <w:rPr>
          <w:rFonts w:cstheme="minorHAnsi"/>
        </w:rPr>
      </w:pPr>
      <w:r w:rsidRPr="00025945">
        <w:rPr>
          <w:rFonts w:cstheme="minorHAnsi"/>
        </w:rPr>
        <w:t>The Committee appreciates the State party’s effo</w:t>
      </w:r>
      <w:r>
        <w:rPr>
          <w:rFonts w:cstheme="minorHAnsi"/>
        </w:rPr>
        <w:t xml:space="preserve">rts to improve the enjoyment of </w:t>
      </w:r>
      <w:r w:rsidRPr="00025945">
        <w:rPr>
          <w:rFonts w:cstheme="minorHAnsi"/>
        </w:rPr>
        <w:t>economic, social and cultural rights by its inhabitants. In particular, the Committee takes note</w:t>
      </w:r>
      <w:r>
        <w:rPr>
          <w:rFonts w:cstheme="minorHAnsi"/>
        </w:rPr>
        <w:t xml:space="preserve"> </w:t>
      </w:r>
      <w:r w:rsidRPr="00025945">
        <w:rPr>
          <w:rFonts w:cstheme="minorHAnsi"/>
        </w:rPr>
        <w:t>of the State party’s goals and objectives in the context of the United Nations Development</w:t>
      </w:r>
      <w:r>
        <w:rPr>
          <w:rFonts w:cstheme="minorHAnsi"/>
        </w:rPr>
        <w:t xml:space="preserve"> </w:t>
      </w:r>
      <w:r w:rsidRPr="00025945">
        <w:rPr>
          <w:rFonts w:cstheme="minorHAnsi"/>
        </w:rPr>
        <w:t>Assistance Framework (UNDAF), which aims at improving living standards by reducing</w:t>
      </w:r>
      <w:r>
        <w:rPr>
          <w:rFonts w:cstheme="minorHAnsi"/>
        </w:rPr>
        <w:t xml:space="preserve"> </w:t>
      </w:r>
      <w:r w:rsidRPr="00025945">
        <w:rPr>
          <w:rFonts w:cstheme="minorHAnsi"/>
        </w:rPr>
        <w:t>socio-economic and regional disparities and strengthening institutional capacities to meet</w:t>
      </w:r>
      <w:r>
        <w:rPr>
          <w:rFonts w:cstheme="minorHAnsi"/>
        </w:rPr>
        <w:t xml:space="preserve"> </w:t>
      </w:r>
      <w:r w:rsidRPr="00025945">
        <w:rPr>
          <w:rFonts w:cstheme="minorHAnsi"/>
        </w:rPr>
        <w:t>development challenges.</w:t>
      </w:r>
    </w:p>
    <w:p w:rsidR="00825851" w:rsidRPr="00025945" w:rsidRDefault="007464A5" w:rsidP="00025945">
      <w:pPr>
        <w:jc w:val="both"/>
        <w:rPr>
          <w:rFonts w:cstheme="minorHAnsi"/>
        </w:rPr>
      </w:pPr>
      <w:r w:rsidRPr="007464A5">
        <w:rPr>
          <w:b/>
          <w:i/>
        </w:rPr>
        <w:t>United Nations Country Team (UNCT)</w:t>
      </w:r>
      <w:r w:rsidR="00B255AC">
        <w:rPr>
          <w:b/>
          <w:i/>
        </w:rPr>
        <w:t xml:space="preserve"> - 2007</w:t>
      </w:r>
      <w:r w:rsidR="00523E1B">
        <w:rPr>
          <w:rStyle w:val="FootnoteReference"/>
          <w:b/>
          <w:i/>
        </w:rPr>
        <w:footnoteReference w:id="19"/>
      </w:r>
    </w:p>
    <w:p w:rsidR="000B5A30" w:rsidRDefault="000B5A30" w:rsidP="00404013">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37357F" w:rsidRDefault="009D5E64" w:rsidP="00404013">
      <w:pPr>
        <w:jc w:val="both"/>
        <w:rPr>
          <w:lang w:val="en-US"/>
        </w:rPr>
      </w:pPr>
      <w:r w:rsidRPr="006356EB">
        <w:rPr>
          <w:lang w:val="en-US"/>
        </w:rPr>
        <w:t>Under the leadership of the UN RC/HC the UN Country Team (UNCT) and the HCT provide strategic and policy guidance to programming, as well as review progress against targets. An inter-sector working group comprising eight sector and two clusters provides operational guidance and support to the humanitarian operation in Syria led by the Office of the HC. The Humanitarian Country Team (HCT</w:t>
      </w:r>
      <w:proofErr w:type="gramStart"/>
      <w:r w:rsidRPr="006356EB">
        <w:rPr>
          <w:lang w:val="en-US"/>
        </w:rPr>
        <w:t>),</w:t>
      </w:r>
      <w:proofErr w:type="gramEnd"/>
      <w:r w:rsidRPr="006356EB">
        <w:rPr>
          <w:lang w:val="en-US"/>
        </w:rPr>
        <w:t xml:space="preserve"> composed of UN agencies and international NGOs operating in Syria</w:t>
      </w:r>
      <w:r w:rsidR="004462E9" w:rsidRPr="006356EB">
        <w:rPr>
          <w:lang w:val="en-US"/>
        </w:rPr>
        <w:t>.</w:t>
      </w:r>
    </w:p>
    <w:p w:rsidR="009638EA" w:rsidRDefault="009638EA" w:rsidP="00404013">
      <w:pPr>
        <w:jc w:val="both"/>
        <w:rPr>
          <w:lang w:val="en-US"/>
        </w:rPr>
      </w:pPr>
    </w:p>
    <w:p w:rsidR="008166E6" w:rsidRDefault="008166E6" w:rsidP="00404013">
      <w:pPr>
        <w:jc w:val="both"/>
        <w:rPr>
          <w:lang w:val="en-US"/>
        </w:rPr>
      </w:pPr>
    </w:p>
    <w:p w:rsidR="008166E6" w:rsidRPr="006356EB" w:rsidRDefault="008166E6" w:rsidP="00404013">
      <w:pPr>
        <w:jc w:val="both"/>
        <w:rPr>
          <w:lang w:val="en-US"/>
        </w:rPr>
      </w:pPr>
    </w:p>
    <w:p w:rsidR="007464A5" w:rsidRPr="005800DF" w:rsidRDefault="007464A5" w:rsidP="00404013">
      <w:pPr>
        <w:jc w:val="both"/>
      </w:pPr>
      <w:r w:rsidRPr="007464A5">
        <w:rPr>
          <w:rFonts w:cstheme="minorHAnsi"/>
          <w:b/>
          <w:i/>
        </w:rPr>
        <w:lastRenderedPageBreak/>
        <w:t>United Nations Development Assistance Framework (UNDAF)</w:t>
      </w:r>
      <w:r w:rsidR="006356EB">
        <w:rPr>
          <w:rFonts w:cstheme="minorHAnsi"/>
          <w:b/>
          <w:i/>
        </w:rPr>
        <w:t xml:space="preserve"> – 2007 - 2011</w:t>
      </w:r>
    </w:p>
    <w:p w:rsidR="00EA4EBB" w:rsidRDefault="000B5A30" w:rsidP="00404013">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The UNDAF forms the overall framework for the UNCT’s work between 201</w:t>
      </w:r>
      <w:r w:rsidR="00DD0DCD">
        <w:rPr>
          <w:i/>
        </w:rPr>
        <w:t>4</w:t>
      </w:r>
      <w:r w:rsidR="007464A5" w:rsidRPr="000B5A30">
        <w:rPr>
          <w:i/>
        </w:rPr>
        <w:t xml:space="preserve"> and 201</w:t>
      </w:r>
      <w:r w:rsidR="00DD0DCD">
        <w:rPr>
          <w:i/>
        </w:rPr>
        <w:t>6</w:t>
      </w:r>
      <w:r w:rsidR="007464A5" w:rsidRPr="000B5A30">
        <w:rPr>
          <w:i/>
        </w:rPr>
        <w:t>.</w:t>
      </w:r>
    </w:p>
    <w:p w:rsidR="0037357F" w:rsidRPr="0037357F" w:rsidRDefault="0037357F" w:rsidP="0037357F">
      <w:pPr>
        <w:jc w:val="both"/>
        <w:rPr>
          <w:lang w:val="en-US"/>
        </w:rPr>
      </w:pPr>
      <w:r w:rsidRPr="0037357F">
        <w:rPr>
          <w:lang w:val="en-US"/>
        </w:rPr>
        <w:t>Cooperation, coordination and inclusion were the hallmarks of UNDAF preparation in Syria. Early in the planning process, the UN Country Team (UNCT) acknowledged that the UNDAF could only be valuable if it corresponded to Syria’s national priorities. To accomplish this, the UNCT reached out to all its partners – non-resident UN agencies, nongovernmental organizations and especially the Syrian Government – to make sure that their voices and expertise shape UN development interventions in the country from 2007 to 2011.</w:t>
      </w:r>
    </w:p>
    <w:p w:rsidR="00862D18" w:rsidRPr="009638EA" w:rsidRDefault="00862D18" w:rsidP="00862D18">
      <w:pPr>
        <w:jc w:val="both"/>
        <w:rPr>
          <w:i/>
        </w:rPr>
      </w:pPr>
      <w:r w:rsidRPr="009638EA">
        <w:rPr>
          <w:i/>
        </w:rPr>
        <w:t>UNDAF Outcome 1: A socioeconomic environment in place that enables sustainable growth, employment equality and protection of vulnerable groups.</w:t>
      </w:r>
    </w:p>
    <w:p w:rsidR="00551D18" w:rsidRPr="00A57E06" w:rsidRDefault="00CF4A1F" w:rsidP="00551D18">
      <w:pPr>
        <w:jc w:val="both"/>
        <w:rPr>
          <w:rFonts w:cstheme="minorHAnsi"/>
          <w:lang w:val="en-US"/>
        </w:rPr>
      </w:pPr>
      <w:r>
        <w:rPr>
          <w:rFonts w:cstheme="minorHAnsi"/>
          <w:lang w:val="en-US"/>
        </w:rPr>
        <w:t>R</w:t>
      </w:r>
      <w:r w:rsidR="00551D18" w:rsidRPr="00A57E06">
        <w:rPr>
          <w:rFonts w:cstheme="minorHAnsi"/>
          <w:lang w:val="en-US"/>
        </w:rPr>
        <w:t>epresentatives from</w:t>
      </w:r>
      <w:r w:rsidR="00551D18">
        <w:rPr>
          <w:rFonts w:cstheme="minorHAnsi"/>
          <w:lang w:val="en-US"/>
        </w:rPr>
        <w:t xml:space="preserve"> </w:t>
      </w:r>
      <w:r w:rsidR="00551D18" w:rsidRPr="00A57E06">
        <w:rPr>
          <w:rFonts w:cstheme="minorHAnsi"/>
          <w:lang w:val="en-US"/>
        </w:rPr>
        <w:t>the Syrian Government, nongovernmental organizations and the UN agencies held a three-day</w:t>
      </w:r>
      <w:r w:rsidR="00551D18">
        <w:rPr>
          <w:rFonts w:cstheme="minorHAnsi"/>
          <w:lang w:val="en-US"/>
        </w:rPr>
        <w:t xml:space="preserve"> </w:t>
      </w:r>
      <w:r w:rsidR="00551D18" w:rsidRPr="00A57E06">
        <w:rPr>
          <w:rFonts w:cstheme="minorHAnsi"/>
          <w:lang w:val="en-US"/>
        </w:rPr>
        <w:t>brainstorming in June 2005 and came up with five statements of shared goals, related broadly to</w:t>
      </w:r>
      <w:r w:rsidR="00551D18">
        <w:rPr>
          <w:rFonts w:cstheme="minorHAnsi"/>
          <w:lang w:val="en-US"/>
        </w:rPr>
        <w:t xml:space="preserve"> </w:t>
      </w:r>
      <w:r w:rsidR="00551D18" w:rsidRPr="00A57E06">
        <w:rPr>
          <w:rFonts w:cstheme="minorHAnsi"/>
          <w:lang w:val="en-US"/>
        </w:rPr>
        <w:t>economic growth, governance, basic social services, the environment and disaster management.</w:t>
      </w:r>
    </w:p>
    <w:p w:rsidR="00551D18" w:rsidRDefault="00551D18" w:rsidP="00862D18">
      <w:pPr>
        <w:jc w:val="both"/>
        <w:rPr>
          <w:rFonts w:cstheme="minorHAnsi"/>
          <w:lang w:val="en-US"/>
        </w:rPr>
      </w:pPr>
      <w:r w:rsidRPr="00A57E06">
        <w:rPr>
          <w:rFonts w:cstheme="minorHAnsi"/>
          <w:lang w:val="en-US"/>
        </w:rPr>
        <w:t>They also identified gender as a cross-cutting theme. These s</w:t>
      </w:r>
      <w:r>
        <w:rPr>
          <w:rFonts w:cstheme="minorHAnsi"/>
          <w:lang w:val="en-US"/>
        </w:rPr>
        <w:t xml:space="preserve">tatements became the five UNDAF </w:t>
      </w:r>
      <w:r w:rsidRPr="00A57E06">
        <w:rPr>
          <w:rFonts w:cstheme="minorHAnsi"/>
          <w:lang w:val="en-US"/>
        </w:rPr>
        <w:t>Outcomes. Since June 2005, these ideas have been fleshed ou</w:t>
      </w:r>
      <w:r>
        <w:rPr>
          <w:rFonts w:cstheme="minorHAnsi"/>
          <w:lang w:val="en-US"/>
        </w:rPr>
        <w:t xml:space="preserve">t into the full UNDAF document, </w:t>
      </w:r>
      <w:r w:rsidRPr="00A57E06">
        <w:rPr>
          <w:rFonts w:cstheme="minorHAnsi"/>
          <w:lang w:val="en-US"/>
        </w:rPr>
        <w:t>mainly through the work of Task Forces in which there was broad national participation. The</w:t>
      </w:r>
      <w:r>
        <w:rPr>
          <w:rFonts w:cstheme="minorHAnsi"/>
          <w:lang w:val="en-US"/>
        </w:rPr>
        <w:t xml:space="preserve"> </w:t>
      </w:r>
      <w:r w:rsidRPr="00A57E06">
        <w:rPr>
          <w:rFonts w:cstheme="minorHAnsi"/>
          <w:lang w:val="en-US"/>
        </w:rPr>
        <w:t>essential elements of the UNDAF are set out in the table below.</w:t>
      </w:r>
      <w:r>
        <w:rPr>
          <w:rStyle w:val="FootnoteReference"/>
          <w:rFonts w:cstheme="minorHAnsi"/>
          <w:lang w:val="en-US"/>
        </w:rPr>
        <w:footnoteReference w:id="20"/>
      </w:r>
    </w:p>
    <w:p w:rsidR="00B17B0A" w:rsidRDefault="00CF4A1F" w:rsidP="00B17B0A">
      <w:pPr>
        <w:jc w:val="both"/>
        <w:rPr>
          <w:rFonts w:cstheme="minorHAnsi"/>
          <w:lang w:val="en-US"/>
        </w:rPr>
      </w:pPr>
      <w:r>
        <w:rPr>
          <w:rFonts w:cstheme="minorHAnsi"/>
          <w:lang w:val="en-US"/>
        </w:rPr>
        <w:t>‘</w:t>
      </w:r>
      <w:r w:rsidR="00B17B0A" w:rsidRPr="009638EA">
        <w:rPr>
          <w:rFonts w:cstheme="minorHAnsi"/>
          <w:lang w:val="en-US"/>
        </w:rPr>
        <w:t>Outcome 5.3</w:t>
      </w:r>
      <w:r w:rsidR="00B17B0A" w:rsidRPr="00CF4A1F">
        <w:rPr>
          <w:rFonts w:cstheme="minorHAnsi"/>
          <w:lang w:val="en-US"/>
        </w:rPr>
        <w:t>:</w:t>
      </w:r>
      <w:r w:rsidR="00B17B0A">
        <w:rPr>
          <w:rFonts w:cstheme="minorHAnsi"/>
          <w:lang w:val="en-US"/>
        </w:rPr>
        <w:t xml:space="preserve"> </w:t>
      </w:r>
      <w:r w:rsidR="00B17B0A" w:rsidRPr="00B17B0A">
        <w:rPr>
          <w:rFonts w:cstheme="minorHAnsi"/>
          <w:lang w:val="en-US"/>
        </w:rPr>
        <w:t>In the event of a disaster, an effective coordinated disaster response is conducted through timely and adequate assessment, relief, rehabilitation and recovery activities</w:t>
      </w:r>
      <w:r>
        <w:rPr>
          <w:rFonts w:cstheme="minorHAnsi"/>
          <w:lang w:val="en-US"/>
        </w:rPr>
        <w:t>.’</w:t>
      </w:r>
    </w:p>
    <w:p w:rsidR="00B17B0A" w:rsidRPr="00B17B0A" w:rsidRDefault="00CF4A1F" w:rsidP="00B17B0A">
      <w:pPr>
        <w:jc w:val="both"/>
        <w:rPr>
          <w:rFonts w:cstheme="minorHAnsi"/>
          <w:lang w:val="en-US"/>
        </w:rPr>
      </w:pPr>
      <w:r>
        <w:rPr>
          <w:rFonts w:cstheme="minorHAnsi"/>
          <w:lang w:val="en-US"/>
        </w:rPr>
        <w:t>‘</w:t>
      </w:r>
      <w:r w:rsidR="00B17B0A" w:rsidRPr="00B17B0A">
        <w:rPr>
          <w:rFonts w:cstheme="minorHAnsi"/>
          <w:lang w:val="en-US"/>
        </w:rPr>
        <w:t xml:space="preserve">5.3.2 Basic needs achieved, including food, </w:t>
      </w:r>
      <w:r w:rsidR="00B17B0A" w:rsidRPr="009638EA">
        <w:rPr>
          <w:rFonts w:cstheme="minorHAnsi"/>
          <w:lang w:val="en-US"/>
        </w:rPr>
        <w:t>shelter,</w:t>
      </w:r>
      <w:r w:rsidR="00B17B0A" w:rsidRPr="00B17B0A">
        <w:rPr>
          <w:rFonts w:cstheme="minorHAnsi"/>
          <w:lang w:val="en-US"/>
        </w:rPr>
        <w:t xml:space="preserve"> water, sanitation and hygiene, and health, including reproductive health.</w:t>
      </w:r>
      <w:r>
        <w:rPr>
          <w:rFonts w:cstheme="minorHAnsi"/>
          <w:lang w:val="en-US"/>
        </w:rPr>
        <w:t>’</w:t>
      </w:r>
    </w:p>
    <w:p w:rsidR="009638EA" w:rsidRDefault="009638EA">
      <w:pPr>
        <w:rPr>
          <w:b/>
          <w:sz w:val="28"/>
        </w:rPr>
      </w:pPr>
    </w:p>
    <w:p w:rsidR="001158E4" w:rsidRDefault="001158E4" w:rsidP="00CF4A1F">
      <w:pPr>
        <w:jc w:val="both"/>
        <w:rPr>
          <w:b/>
          <w:sz w:val="28"/>
        </w:rPr>
      </w:pPr>
      <w:r w:rsidRPr="001B7B83">
        <w:rPr>
          <w:b/>
          <w:sz w:val="28"/>
        </w:rPr>
        <w:t>UN-Habitat</w:t>
      </w:r>
      <w:r w:rsidR="00862D18">
        <w:rPr>
          <w:rStyle w:val="FootnoteReference"/>
          <w:b/>
          <w:sz w:val="28"/>
        </w:rPr>
        <w:footnoteReference w:id="21"/>
      </w:r>
    </w:p>
    <w:p w:rsidR="0037357F" w:rsidRDefault="0037357F" w:rsidP="009638EA">
      <w:pPr>
        <w:spacing w:after="0"/>
        <w:rPr>
          <w:rFonts w:cstheme="minorHAnsi"/>
          <w:lang w:val="en-US"/>
        </w:rPr>
      </w:pPr>
      <w:r w:rsidRPr="0037357F">
        <w:rPr>
          <w:rFonts w:cstheme="minorHAnsi"/>
          <w:lang w:val="en-US"/>
        </w:rPr>
        <w:t>UN-Habitat aims to provide technical support to the humanitarian response, in order to understand the complexities of these urban structures and make sure that approaches and solutions offered are relevant, comprehensive, well</w:t>
      </w:r>
      <w:r w:rsidR="009638EA">
        <w:rPr>
          <w:rFonts w:cstheme="minorHAnsi"/>
          <w:lang w:val="en-US"/>
        </w:rPr>
        <w:t>-</w:t>
      </w:r>
      <w:r w:rsidRPr="0037357F">
        <w:rPr>
          <w:rFonts w:cstheme="minorHAnsi"/>
          <w:lang w:val="en-US"/>
        </w:rPr>
        <w:t>coordinated and integrated across the urban sector and maximize the potential for positive outcomes through inclusion of the widest range of urban professionals and with the full engagement of local communities.</w:t>
      </w:r>
    </w:p>
    <w:p w:rsidR="00862D18" w:rsidRPr="0037357F" w:rsidRDefault="00862D18" w:rsidP="009638EA">
      <w:pPr>
        <w:spacing w:after="0"/>
        <w:rPr>
          <w:rFonts w:cstheme="minorHAnsi"/>
          <w:lang w:val="en-US"/>
        </w:rPr>
      </w:pPr>
    </w:p>
    <w:p w:rsidR="0037357F" w:rsidRDefault="0037357F" w:rsidP="009638EA">
      <w:pPr>
        <w:spacing w:after="0"/>
        <w:rPr>
          <w:rFonts w:cstheme="minorHAnsi"/>
          <w:lang w:val="en-US"/>
        </w:rPr>
      </w:pPr>
      <w:r w:rsidRPr="0037357F">
        <w:rPr>
          <w:rFonts w:cstheme="minorHAnsi"/>
          <w:lang w:val="en-US"/>
        </w:rPr>
        <w:lastRenderedPageBreak/>
        <w:t>The regional refugee dimension of the crises is equally daunting and UN-Habitat is developing partnerships for engagement in Lebanon, Jordan and Iraq.</w:t>
      </w:r>
    </w:p>
    <w:p w:rsidR="00862D18" w:rsidRPr="0037357F" w:rsidRDefault="00862D18" w:rsidP="009638EA">
      <w:pPr>
        <w:spacing w:after="0"/>
        <w:rPr>
          <w:rFonts w:cstheme="minorHAnsi"/>
          <w:lang w:val="en-US"/>
        </w:rPr>
      </w:pPr>
    </w:p>
    <w:p w:rsidR="0037357F" w:rsidRDefault="0037357F" w:rsidP="009638EA">
      <w:pPr>
        <w:spacing w:after="0"/>
        <w:rPr>
          <w:rFonts w:cstheme="minorHAnsi"/>
          <w:lang w:val="en-US"/>
        </w:rPr>
      </w:pPr>
      <w:r w:rsidRPr="0037357F">
        <w:rPr>
          <w:rFonts w:cstheme="minorHAnsi"/>
          <w:lang w:val="en-US"/>
        </w:rPr>
        <w:t>Withi</w:t>
      </w:r>
      <w:r w:rsidR="009638EA">
        <w:rPr>
          <w:rFonts w:cstheme="minorHAnsi"/>
          <w:lang w:val="en-US"/>
        </w:rPr>
        <w:t>n the context of providing well-</w:t>
      </w:r>
      <w:r w:rsidRPr="0037357F">
        <w:rPr>
          <w:rFonts w:cstheme="minorHAnsi"/>
          <w:lang w:val="en-US"/>
        </w:rPr>
        <w:t xml:space="preserve">coordinated, comprehensive and integrated urban </w:t>
      </w:r>
      <w:proofErr w:type="gramStart"/>
      <w:r w:rsidRPr="0037357F">
        <w:rPr>
          <w:rFonts w:cstheme="minorHAnsi"/>
          <w:lang w:val="en-US"/>
        </w:rPr>
        <w:t>response ,</w:t>
      </w:r>
      <w:proofErr w:type="gramEnd"/>
      <w:r w:rsidRPr="0037357F">
        <w:rPr>
          <w:rFonts w:cstheme="minorHAnsi"/>
          <w:lang w:val="en-US"/>
        </w:rPr>
        <w:t xml:space="preserve"> UN-Habitat has joined with the other Syria emergency agencies to focus on:</w:t>
      </w:r>
    </w:p>
    <w:p w:rsidR="00862D18" w:rsidRPr="0037357F" w:rsidRDefault="00862D18" w:rsidP="009638EA">
      <w:pPr>
        <w:spacing w:after="0"/>
        <w:rPr>
          <w:rFonts w:cstheme="minorHAnsi"/>
          <w:lang w:val="en-US"/>
        </w:rPr>
      </w:pPr>
    </w:p>
    <w:p w:rsidR="0037357F" w:rsidRPr="0037357F" w:rsidRDefault="0037357F" w:rsidP="009638EA">
      <w:pPr>
        <w:numPr>
          <w:ilvl w:val="0"/>
          <w:numId w:val="29"/>
        </w:numPr>
        <w:spacing w:after="0"/>
        <w:rPr>
          <w:rFonts w:cstheme="minorHAnsi"/>
          <w:lang w:val="en-US"/>
        </w:rPr>
      </w:pPr>
      <w:r w:rsidRPr="0037357F">
        <w:rPr>
          <w:rFonts w:cstheme="minorHAnsi"/>
          <w:lang w:val="en-US"/>
        </w:rPr>
        <w:t>Development of strategic urban response plans</w:t>
      </w:r>
    </w:p>
    <w:p w:rsidR="0037357F" w:rsidRPr="0037357F" w:rsidRDefault="0037357F" w:rsidP="009638EA">
      <w:pPr>
        <w:numPr>
          <w:ilvl w:val="0"/>
          <w:numId w:val="29"/>
        </w:numPr>
        <w:spacing w:after="0"/>
        <w:rPr>
          <w:rFonts w:cstheme="minorHAnsi"/>
          <w:lang w:val="en-US"/>
        </w:rPr>
      </w:pPr>
      <w:r w:rsidRPr="0037357F">
        <w:rPr>
          <w:rFonts w:cstheme="minorHAnsi"/>
          <w:lang w:val="en-US"/>
        </w:rPr>
        <w:t>Support on shelter strategy development</w:t>
      </w:r>
    </w:p>
    <w:p w:rsidR="0037357F" w:rsidRPr="0037357F" w:rsidRDefault="0037357F" w:rsidP="009638EA">
      <w:pPr>
        <w:numPr>
          <w:ilvl w:val="0"/>
          <w:numId w:val="29"/>
        </w:numPr>
        <w:spacing w:after="0"/>
        <w:rPr>
          <w:rFonts w:cstheme="minorHAnsi"/>
          <w:lang w:val="en-US"/>
        </w:rPr>
      </w:pPr>
      <w:r w:rsidRPr="0037357F">
        <w:rPr>
          <w:rFonts w:cstheme="minorHAnsi"/>
          <w:lang w:val="en-US"/>
        </w:rPr>
        <w:t>Shelter and Housing damage assessments</w:t>
      </w:r>
    </w:p>
    <w:p w:rsidR="0037357F" w:rsidRPr="0037357F" w:rsidRDefault="0037357F" w:rsidP="009638EA">
      <w:pPr>
        <w:numPr>
          <w:ilvl w:val="0"/>
          <w:numId w:val="29"/>
        </w:numPr>
        <w:spacing w:after="0"/>
        <w:rPr>
          <w:rFonts w:cstheme="minorHAnsi"/>
          <w:lang w:val="en-US"/>
        </w:rPr>
      </w:pPr>
      <w:r w:rsidRPr="0037357F">
        <w:rPr>
          <w:rFonts w:cstheme="minorHAnsi"/>
          <w:lang w:val="en-US"/>
        </w:rPr>
        <w:t>Shelter Response options</w:t>
      </w:r>
    </w:p>
    <w:p w:rsidR="0037357F" w:rsidRPr="0037357F" w:rsidRDefault="0037357F" w:rsidP="009638EA">
      <w:pPr>
        <w:numPr>
          <w:ilvl w:val="0"/>
          <w:numId w:val="29"/>
        </w:numPr>
        <w:spacing w:after="0"/>
        <w:rPr>
          <w:rFonts w:cstheme="minorHAnsi"/>
          <w:lang w:val="en-US"/>
        </w:rPr>
      </w:pPr>
      <w:r w:rsidRPr="0037357F">
        <w:rPr>
          <w:rFonts w:cstheme="minorHAnsi"/>
          <w:lang w:val="en-US"/>
        </w:rPr>
        <w:t>Basic Services, prioritizing solid waste management and garbage removal</w:t>
      </w:r>
    </w:p>
    <w:p w:rsidR="0037357F" w:rsidRPr="0037357F" w:rsidRDefault="0037357F" w:rsidP="009638EA">
      <w:pPr>
        <w:numPr>
          <w:ilvl w:val="0"/>
          <w:numId w:val="29"/>
        </w:numPr>
        <w:spacing w:after="0"/>
        <w:rPr>
          <w:rFonts w:cstheme="minorHAnsi"/>
          <w:lang w:val="en-US"/>
        </w:rPr>
      </w:pPr>
      <w:proofErr w:type="spellStart"/>
      <w:r w:rsidRPr="0037357F">
        <w:rPr>
          <w:rFonts w:cstheme="minorHAnsi"/>
          <w:lang w:val="en-US"/>
        </w:rPr>
        <w:t>Neighbourhood</w:t>
      </w:r>
      <w:proofErr w:type="spellEnd"/>
      <w:r w:rsidRPr="0037357F">
        <w:rPr>
          <w:rFonts w:cstheme="minorHAnsi"/>
          <w:lang w:val="en-US"/>
        </w:rPr>
        <w:t xml:space="preserve"> based integrated coordination</w:t>
      </w:r>
    </w:p>
    <w:p w:rsidR="00862D18" w:rsidRDefault="00862D18" w:rsidP="009638EA">
      <w:pPr>
        <w:spacing w:after="0"/>
        <w:rPr>
          <w:rFonts w:cstheme="minorHAnsi"/>
          <w:lang w:val="en-US"/>
        </w:rPr>
      </w:pPr>
    </w:p>
    <w:p w:rsidR="0037357F" w:rsidRDefault="0037357F" w:rsidP="009638EA">
      <w:pPr>
        <w:spacing w:after="0"/>
        <w:rPr>
          <w:rFonts w:cstheme="minorHAnsi"/>
          <w:lang w:val="en-US"/>
        </w:rPr>
      </w:pPr>
      <w:r w:rsidRPr="0037357F">
        <w:rPr>
          <w:rFonts w:cstheme="minorHAnsi"/>
          <w:lang w:val="en-US"/>
        </w:rPr>
        <w:t>The inclusion of UN-Habitat in the humanitarian response will add a broad range of urban expertise and support a wide range of stakeholders with technical support, information and advice on complex urban issues.</w:t>
      </w:r>
    </w:p>
    <w:p w:rsidR="00AF6B72" w:rsidRDefault="00AF6B72" w:rsidP="0037357F">
      <w:pPr>
        <w:spacing w:after="0" w:line="240" w:lineRule="auto"/>
        <w:rPr>
          <w:rFonts w:cstheme="minorHAnsi"/>
          <w:lang w:val="en-US"/>
        </w:rPr>
      </w:pPr>
    </w:p>
    <w:p w:rsidR="00AF6B72" w:rsidRPr="00AF6B72" w:rsidRDefault="00AF6B72" w:rsidP="0037357F">
      <w:pPr>
        <w:spacing w:after="0" w:line="240" w:lineRule="auto"/>
        <w:rPr>
          <w:rFonts w:cstheme="minorHAnsi"/>
          <w:b/>
          <w:lang w:val="en-US"/>
        </w:rPr>
      </w:pPr>
      <w:r w:rsidRPr="00AF6B72">
        <w:rPr>
          <w:rFonts w:cstheme="minorHAnsi"/>
          <w:b/>
          <w:lang w:val="en-US"/>
        </w:rPr>
        <w:t>UN-Habitat Projects in Syria</w:t>
      </w:r>
      <w:r>
        <w:rPr>
          <w:rStyle w:val="FootnoteReference"/>
          <w:rFonts w:cstheme="minorHAnsi"/>
          <w:b/>
          <w:lang w:val="en-US"/>
        </w:rPr>
        <w:footnoteReference w:id="22"/>
      </w:r>
    </w:p>
    <w:p w:rsidR="00EA3302" w:rsidRDefault="00EA3302" w:rsidP="0037357F">
      <w:pPr>
        <w:spacing w:after="0" w:line="240" w:lineRule="auto"/>
        <w:rPr>
          <w:rFonts w:cstheme="minorHAnsi"/>
        </w:rPr>
      </w:pPr>
    </w:p>
    <w:p w:rsidR="00CF4A1F" w:rsidRPr="009638EA" w:rsidRDefault="00EA3302" w:rsidP="009638EA">
      <w:pPr>
        <w:spacing w:after="0"/>
        <w:rPr>
          <w:rFonts w:cstheme="minorHAnsi"/>
          <w:u w:val="single"/>
        </w:rPr>
      </w:pPr>
      <w:r w:rsidRPr="009638EA">
        <w:rPr>
          <w:rFonts w:cstheme="minorHAnsi"/>
          <w:u w:val="single"/>
        </w:rPr>
        <w:t xml:space="preserve">Shelter Support IDPs </w:t>
      </w:r>
      <w:proofErr w:type="gramStart"/>
      <w:r w:rsidRPr="009638EA">
        <w:rPr>
          <w:rFonts w:cstheme="minorHAnsi"/>
          <w:u w:val="single"/>
        </w:rPr>
        <w:t>And</w:t>
      </w:r>
      <w:proofErr w:type="gramEnd"/>
      <w:r w:rsidRPr="009638EA">
        <w:rPr>
          <w:rFonts w:cstheme="minorHAnsi"/>
          <w:u w:val="single"/>
        </w:rPr>
        <w:t xml:space="preserve"> Host Communities In 4 Affected Governorates </w:t>
      </w:r>
    </w:p>
    <w:p w:rsidR="00B27FC6" w:rsidRDefault="00EA3302" w:rsidP="009638EA">
      <w:pPr>
        <w:spacing w:after="0"/>
        <w:rPr>
          <w:rFonts w:cstheme="minorHAnsi"/>
        </w:rPr>
      </w:pPr>
      <w:r w:rsidRPr="00EA3302">
        <w:rPr>
          <w:rFonts w:cstheme="minorHAnsi"/>
        </w:rPr>
        <w:t>Outputs: Shelter options implemented for IDPs and host</w:t>
      </w:r>
      <w:r>
        <w:rPr>
          <w:rFonts w:cstheme="minorHAnsi"/>
        </w:rPr>
        <w:t xml:space="preserve"> </w:t>
      </w:r>
      <w:r w:rsidRPr="00EA3302">
        <w:rPr>
          <w:rFonts w:cstheme="minorHAnsi"/>
        </w:rPr>
        <w:t>co</w:t>
      </w:r>
      <w:r>
        <w:rPr>
          <w:rFonts w:cstheme="minorHAnsi"/>
        </w:rPr>
        <w:t xml:space="preserve">mmunities. </w:t>
      </w:r>
      <w:proofErr w:type="gramStart"/>
      <w:r>
        <w:rPr>
          <w:rFonts w:cstheme="minorHAnsi"/>
        </w:rPr>
        <w:t xml:space="preserve">Technical support to </w:t>
      </w:r>
      <w:r w:rsidRPr="00EA3302">
        <w:rPr>
          <w:rFonts w:cstheme="minorHAnsi"/>
        </w:rPr>
        <w:t>municipalities, including</w:t>
      </w:r>
      <w:r>
        <w:rPr>
          <w:rFonts w:cstheme="minorHAnsi"/>
        </w:rPr>
        <w:t xml:space="preserve"> </w:t>
      </w:r>
      <w:r w:rsidRPr="00EA3302">
        <w:rPr>
          <w:rFonts w:cstheme="minorHAnsi"/>
        </w:rPr>
        <w:t>information management on shelter and neighbourhoods.</w:t>
      </w:r>
      <w:proofErr w:type="gramEnd"/>
      <w:r>
        <w:rPr>
          <w:rFonts w:cstheme="minorHAnsi"/>
        </w:rPr>
        <w:t xml:space="preserve"> </w:t>
      </w:r>
    </w:p>
    <w:p w:rsidR="00EA3302" w:rsidRPr="00EA3302" w:rsidRDefault="00EA3302" w:rsidP="009638EA">
      <w:pPr>
        <w:spacing w:after="0"/>
        <w:rPr>
          <w:rFonts w:cstheme="minorHAnsi"/>
        </w:rPr>
      </w:pPr>
      <w:r w:rsidRPr="009638EA">
        <w:rPr>
          <w:rFonts w:cstheme="minorHAnsi"/>
        </w:rPr>
        <w:t>Target Beneficiaries:</w:t>
      </w:r>
      <w:r w:rsidRPr="00EA3302">
        <w:rPr>
          <w:rFonts w:cstheme="minorHAnsi"/>
        </w:rPr>
        <w:t xml:space="preserve"> Tota</w:t>
      </w:r>
      <w:r>
        <w:rPr>
          <w:rFonts w:cstheme="minorHAnsi"/>
        </w:rPr>
        <w:t xml:space="preserve">l: 200,000 affected population, </w:t>
      </w:r>
      <w:r w:rsidRPr="00EA3302">
        <w:rPr>
          <w:rFonts w:cstheme="minorHAnsi"/>
        </w:rPr>
        <w:t>IDPs, Host communities, Children: 120,000; Women:</w:t>
      </w:r>
      <w:r>
        <w:rPr>
          <w:rFonts w:cstheme="minorHAnsi"/>
        </w:rPr>
        <w:t xml:space="preserve"> </w:t>
      </w:r>
      <w:r w:rsidRPr="00EA3302">
        <w:rPr>
          <w:rFonts w:cstheme="minorHAnsi"/>
        </w:rPr>
        <w:t>40,000 Geographical Locations: Aleppo, Rural Damascus,</w:t>
      </w:r>
    </w:p>
    <w:p w:rsidR="00EA3302" w:rsidRDefault="00EA3302" w:rsidP="009638EA">
      <w:pPr>
        <w:spacing w:after="0"/>
        <w:rPr>
          <w:rFonts w:cstheme="minorHAnsi"/>
        </w:rPr>
      </w:pPr>
      <w:r>
        <w:rPr>
          <w:rFonts w:cstheme="minorHAnsi"/>
        </w:rPr>
        <w:t>Homs, Hama</w:t>
      </w:r>
    </w:p>
    <w:p w:rsidR="00EA3302" w:rsidRDefault="00EA3302" w:rsidP="009638EA">
      <w:pPr>
        <w:spacing w:after="0"/>
        <w:rPr>
          <w:rFonts w:cstheme="minorHAnsi"/>
        </w:rPr>
      </w:pPr>
    </w:p>
    <w:p w:rsidR="00B27FC6" w:rsidRDefault="00EA3302" w:rsidP="009638EA">
      <w:pPr>
        <w:spacing w:after="0"/>
        <w:rPr>
          <w:rFonts w:cstheme="minorHAnsi"/>
          <w:lang w:val="en-US"/>
        </w:rPr>
      </w:pPr>
      <w:r w:rsidRPr="009638EA">
        <w:rPr>
          <w:rFonts w:cstheme="minorHAnsi"/>
          <w:u w:val="single"/>
          <w:lang w:val="en-US"/>
        </w:rPr>
        <w:t xml:space="preserve">Emergency Solid Waste Management </w:t>
      </w:r>
      <w:proofErr w:type="gramStart"/>
      <w:r w:rsidRPr="009638EA">
        <w:rPr>
          <w:rFonts w:cstheme="minorHAnsi"/>
          <w:u w:val="single"/>
          <w:lang w:val="en-US"/>
        </w:rPr>
        <w:t>And Public Services Support In</w:t>
      </w:r>
      <w:proofErr w:type="gramEnd"/>
      <w:r w:rsidRPr="009638EA">
        <w:rPr>
          <w:rFonts w:cstheme="minorHAnsi"/>
          <w:u w:val="single"/>
          <w:lang w:val="en-US"/>
        </w:rPr>
        <w:t xml:space="preserve"> 4 Affected Municipalities </w:t>
      </w:r>
      <w:r w:rsidRPr="00EA3302">
        <w:rPr>
          <w:rFonts w:cstheme="minorHAnsi"/>
          <w:lang w:val="en-US"/>
        </w:rPr>
        <w:t>Outputs: Grants for solid waste management, drainage repairs, sewage system repairs, Training and capacity building for municipalities, Monitoring and outreach to communities</w:t>
      </w:r>
      <w:r>
        <w:rPr>
          <w:rFonts w:cstheme="minorHAnsi"/>
          <w:lang w:val="en-US"/>
        </w:rPr>
        <w:t xml:space="preserve">. </w:t>
      </w:r>
    </w:p>
    <w:p w:rsidR="00EA3302" w:rsidRDefault="00EA3302" w:rsidP="009638EA">
      <w:pPr>
        <w:spacing w:after="0"/>
        <w:rPr>
          <w:rFonts w:cstheme="minorHAnsi"/>
          <w:lang w:val="en-US"/>
        </w:rPr>
      </w:pPr>
      <w:r w:rsidRPr="009638EA">
        <w:rPr>
          <w:rFonts w:cstheme="minorHAnsi"/>
          <w:lang w:val="en-US"/>
        </w:rPr>
        <w:t>Target Beneficiaries</w:t>
      </w:r>
      <w:r w:rsidRPr="00CF4A1F">
        <w:rPr>
          <w:rFonts w:cstheme="minorHAnsi"/>
          <w:lang w:val="en-US"/>
        </w:rPr>
        <w:t>:</w:t>
      </w:r>
      <w:r w:rsidRPr="00EA3302">
        <w:rPr>
          <w:rFonts w:cstheme="minorHAnsi"/>
          <w:lang w:val="en-US"/>
        </w:rPr>
        <w:t xml:space="preserve"> 300,000 population, Children: 180,000; Women</w:t>
      </w:r>
      <w:proofErr w:type="gramStart"/>
      <w:r w:rsidRPr="00EA3302">
        <w:rPr>
          <w:rFonts w:cstheme="minorHAnsi"/>
          <w:lang w:val="en-US"/>
        </w:rPr>
        <w:t>:120,000</w:t>
      </w:r>
      <w:proofErr w:type="gramEnd"/>
      <w:r w:rsidRPr="00EA3302">
        <w:rPr>
          <w:rFonts w:cstheme="minorHAnsi"/>
          <w:lang w:val="en-US"/>
        </w:rPr>
        <w:t>; Other group: 600 technical public and private service staff trained</w:t>
      </w:r>
      <w:r>
        <w:rPr>
          <w:rFonts w:cstheme="minorHAnsi"/>
          <w:lang w:val="en-US"/>
        </w:rPr>
        <w:t>.</w:t>
      </w:r>
    </w:p>
    <w:p w:rsidR="00EA3302" w:rsidRDefault="00EA3302" w:rsidP="009638EA">
      <w:pPr>
        <w:spacing w:after="0"/>
        <w:rPr>
          <w:rFonts w:cstheme="minorHAnsi"/>
          <w:lang w:val="en-US"/>
        </w:rPr>
      </w:pPr>
    </w:p>
    <w:p w:rsidR="00EA3302" w:rsidRPr="009638EA" w:rsidRDefault="00EA3302" w:rsidP="009638EA">
      <w:pPr>
        <w:spacing w:after="0"/>
        <w:rPr>
          <w:rFonts w:cstheme="minorHAnsi"/>
          <w:u w:val="single"/>
          <w:lang w:val="en-US"/>
        </w:rPr>
      </w:pPr>
      <w:r w:rsidRPr="009638EA">
        <w:rPr>
          <w:rFonts w:cstheme="minorHAnsi"/>
          <w:u w:val="single"/>
          <w:lang w:val="en-US"/>
        </w:rPr>
        <w:t xml:space="preserve">Community Grants </w:t>
      </w:r>
      <w:proofErr w:type="gramStart"/>
      <w:r w:rsidRPr="009638EA">
        <w:rPr>
          <w:rFonts w:cstheme="minorHAnsi"/>
          <w:u w:val="single"/>
          <w:lang w:val="en-US"/>
        </w:rPr>
        <w:t>To</w:t>
      </w:r>
      <w:proofErr w:type="gramEnd"/>
      <w:r w:rsidRPr="009638EA">
        <w:rPr>
          <w:rFonts w:cstheme="minorHAnsi"/>
          <w:u w:val="single"/>
          <w:lang w:val="en-US"/>
        </w:rPr>
        <w:t xml:space="preserve"> Address Priority Infrastructure And Basic Service Needs In 6 Cities</w:t>
      </w:r>
    </w:p>
    <w:p w:rsidR="00B27FC6" w:rsidRDefault="00EA3302" w:rsidP="009638EA">
      <w:pPr>
        <w:spacing w:after="0"/>
        <w:rPr>
          <w:rFonts w:cstheme="minorHAnsi"/>
          <w:lang w:val="en-US"/>
        </w:rPr>
      </w:pPr>
      <w:r w:rsidRPr="00EA3302">
        <w:rPr>
          <w:rFonts w:cstheme="minorHAnsi"/>
          <w:lang w:val="en-US"/>
        </w:rPr>
        <w:t>Outputs: 24 quick impact projects implemented in affected neighborhoods in 6 cities and capacity of local NGO partners strengthened to develop neighborhood action plans</w:t>
      </w:r>
      <w:r>
        <w:rPr>
          <w:rFonts w:cstheme="minorHAnsi"/>
          <w:lang w:val="en-US"/>
        </w:rPr>
        <w:t xml:space="preserve">. </w:t>
      </w:r>
    </w:p>
    <w:p w:rsidR="00EA3302" w:rsidRPr="00EA3302" w:rsidRDefault="00EA3302" w:rsidP="009638EA">
      <w:pPr>
        <w:spacing w:after="0"/>
        <w:rPr>
          <w:rFonts w:cstheme="minorHAnsi"/>
          <w:lang w:val="en-US"/>
        </w:rPr>
      </w:pPr>
      <w:r w:rsidRPr="009638EA">
        <w:rPr>
          <w:rFonts w:cstheme="minorHAnsi"/>
          <w:lang w:val="en-US"/>
        </w:rPr>
        <w:t>Target Beneficiaries:</w:t>
      </w:r>
      <w:r w:rsidRPr="00EA3302">
        <w:rPr>
          <w:rFonts w:cstheme="minorHAnsi"/>
          <w:lang w:val="en-US"/>
        </w:rPr>
        <w:t xml:space="preserve"> 120,000 IDPs and affected non displaced population with local coping options, guidelines and training, members trained, 120 local authority officials trained. Children: 72,000; Women: 24,000</w:t>
      </w:r>
    </w:p>
    <w:p w:rsidR="00EA3302" w:rsidRPr="00EA3302" w:rsidRDefault="00EA3302" w:rsidP="00EA3302">
      <w:pPr>
        <w:spacing w:after="0" w:line="240" w:lineRule="auto"/>
        <w:rPr>
          <w:rFonts w:cstheme="minorHAnsi"/>
          <w:lang w:val="en-US"/>
        </w:rPr>
      </w:pPr>
      <w:bookmarkStart w:id="0" w:name="_GoBack"/>
      <w:bookmarkEnd w:id="0"/>
    </w:p>
    <w:p w:rsidR="00AC28CF" w:rsidRPr="0037357F" w:rsidRDefault="00AE01C9" w:rsidP="00EA3302">
      <w:pPr>
        <w:spacing w:after="0" w:line="240" w:lineRule="auto"/>
        <w:rPr>
          <w:rFonts w:ascii="Times" w:eastAsia="Times New Roman" w:hAnsi="Times" w:cs="Times New Roman"/>
          <w:sz w:val="20"/>
          <w:szCs w:val="20"/>
          <w:lang w:val="en-US"/>
        </w:rPr>
      </w:pPr>
      <w:r w:rsidRPr="0037357F">
        <w:rPr>
          <w:rFonts w:cstheme="minorHAnsi"/>
        </w:rPr>
        <w:br w:type="page"/>
      </w:r>
    </w:p>
    <w:p w:rsidR="00AE01C9" w:rsidRPr="00296801" w:rsidRDefault="00AE01C9" w:rsidP="00404013">
      <w:pPr>
        <w:jc w:val="both"/>
        <w:rPr>
          <w:b/>
          <w:sz w:val="28"/>
        </w:rPr>
      </w:pPr>
      <w:r w:rsidRPr="00296801">
        <w:rPr>
          <w:b/>
          <w:sz w:val="28"/>
        </w:rPr>
        <w:lastRenderedPageBreak/>
        <w:t>Further Information</w:t>
      </w:r>
    </w:p>
    <w:p w:rsidR="006356EB" w:rsidRDefault="00523E1B" w:rsidP="009638EA">
      <w:pPr>
        <w:pStyle w:val="FootnoteText"/>
        <w:numPr>
          <w:ilvl w:val="0"/>
          <w:numId w:val="30"/>
        </w:numPr>
        <w:rPr>
          <w:sz w:val="22"/>
          <w:szCs w:val="22"/>
          <w:lang w:val="en-US"/>
        </w:rPr>
      </w:pPr>
      <w:r w:rsidRPr="00523E1B">
        <w:rPr>
          <w:sz w:val="22"/>
          <w:szCs w:val="22"/>
          <w:lang w:val="en-US"/>
        </w:rPr>
        <w:t xml:space="preserve">The Constitution of the Syrian Arab Republic, 2012 </w:t>
      </w:r>
      <w:r w:rsidRPr="00523E1B">
        <w:rPr>
          <w:sz w:val="22"/>
          <w:szCs w:val="22"/>
        </w:rPr>
        <w:t xml:space="preserve"> </w:t>
      </w:r>
      <w:hyperlink r:id="rId16" w:history="1">
        <w:r w:rsidRPr="00523E1B">
          <w:rPr>
            <w:rStyle w:val="Hyperlink"/>
            <w:sz w:val="22"/>
            <w:szCs w:val="22"/>
            <w:lang w:val="en-US"/>
          </w:rPr>
          <w:t>http://www.ilo.org/wcmsp5/groups/public/---</w:t>
        </w:r>
        <w:proofErr w:type="spellStart"/>
        <w:r w:rsidRPr="00523E1B">
          <w:rPr>
            <w:rStyle w:val="Hyperlink"/>
            <w:sz w:val="22"/>
            <w:szCs w:val="22"/>
            <w:lang w:val="en-US"/>
          </w:rPr>
          <w:t>ed_protect</w:t>
        </w:r>
        <w:proofErr w:type="spellEnd"/>
        <w:r w:rsidRPr="00523E1B">
          <w:rPr>
            <w:rStyle w:val="Hyperlink"/>
            <w:sz w:val="22"/>
            <w:szCs w:val="22"/>
            <w:lang w:val="en-US"/>
          </w:rPr>
          <w:t>/---</w:t>
        </w:r>
        <w:proofErr w:type="spellStart"/>
        <w:r w:rsidRPr="00523E1B">
          <w:rPr>
            <w:rStyle w:val="Hyperlink"/>
            <w:sz w:val="22"/>
            <w:szCs w:val="22"/>
            <w:lang w:val="en-US"/>
          </w:rPr>
          <w:t>protrav</w:t>
        </w:r>
        <w:proofErr w:type="spellEnd"/>
        <w:r w:rsidRPr="00523E1B">
          <w:rPr>
            <w:rStyle w:val="Hyperlink"/>
            <w:sz w:val="22"/>
            <w:szCs w:val="22"/>
            <w:lang w:val="en-US"/>
          </w:rPr>
          <w:t>/---</w:t>
        </w:r>
        <w:proofErr w:type="spellStart"/>
        <w:r w:rsidRPr="00523E1B">
          <w:rPr>
            <w:rStyle w:val="Hyperlink"/>
            <w:sz w:val="22"/>
            <w:szCs w:val="22"/>
            <w:lang w:val="en-US"/>
          </w:rPr>
          <w:t>ilo_aids</w:t>
        </w:r>
        <w:proofErr w:type="spellEnd"/>
        <w:r w:rsidRPr="00523E1B">
          <w:rPr>
            <w:rStyle w:val="Hyperlink"/>
            <w:sz w:val="22"/>
            <w:szCs w:val="22"/>
            <w:lang w:val="en-US"/>
          </w:rPr>
          <w:t>/documents/</w:t>
        </w:r>
        <w:proofErr w:type="spellStart"/>
        <w:r w:rsidRPr="00523E1B">
          <w:rPr>
            <w:rStyle w:val="Hyperlink"/>
            <w:sz w:val="22"/>
            <w:szCs w:val="22"/>
            <w:lang w:val="en-US"/>
          </w:rPr>
          <w:t>legaldocument</w:t>
        </w:r>
        <w:proofErr w:type="spellEnd"/>
        <w:r w:rsidRPr="00523E1B">
          <w:rPr>
            <w:rStyle w:val="Hyperlink"/>
            <w:sz w:val="22"/>
            <w:szCs w:val="22"/>
            <w:lang w:val="en-US"/>
          </w:rPr>
          <w:t>/wcms_125885.pdf</w:t>
        </w:r>
      </w:hyperlink>
    </w:p>
    <w:p w:rsidR="00523E1B" w:rsidRPr="00523E1B" w:rsidRDefault="00523E1B" w:rsidP="009638EA">
      <w:pPr>
        <w:pStyle w:val="FootnoteText"/>
        <w:numPr>
          <w:ilvl w:val="0"/>
          <w:numId w:val="30"/>
        </w:numPr>
        <w:rPr>
          <w:b/>
          <w:bCs/>
          <w:sz w:val="22"/>
          <w:szCs w:val="22"/>
        </w:rPr>
      </w:pPr>
      <w:r w:rsidRPr="00523E1B">
        <w:rPr>
          <w:sz w:val="22"/>
          <w:szCs w:val="22"/>
          <w:lang w:val="en-US"/>
        </w:rPr>
        <w:t xml:space="preserve">The United Nations, </w:t>
      </w:r>
      <w:r w:rsidRPr="00523E1B">
        <w:rPr>
          <w:bCs/>
          <w:sz w:val="22"/>
          <w:szCs w:val="22"/>
        </w:rPr>
        <w:t xml:space="preserve">Security Council Unanimously Adopts Resolution 2254 (2015), Endorsing Road Map for Peace Process in Syria, Setting Timetable for Talks, </w:t>
      </w:r>
      <w:hyperlink r:id="rId17" w:history="1">
        <w:r w:rsidRPr="00523E1B">
          <w:rPr>
            <w:rStyle w:val="Hyperlink"/>
            <w:bCs/>
            <w:sz w:val="22"/>
            <w:szCs w:val="22"/>
          </w:rPr>
          <w:t>http://www.un.org/press/en/2015/sc12171.doc.htm</w:t>
        </w:r>
      </w:hyperlink>
      <w:r w:rsidRPr="00523E1B">
        <w:rPr>
          <w:bCs/>
          <w:sz w:val="22"/>
          <w:szCs w:val="22"/>
        </w:rPr>
        <w:t xml:space="preserve">  </w:t>
      </w:r>
    </w:p>
    <w:p w:rsidR="00523E1B" w:rsidRPr="00523E1B" w:rsidRDefault="00523E1B" w:rsidP="009638EA">
      <w:pPr>
        <w:pStyle w:val="FootnoteText"/>
        <w:numPr>
          <w:ilvl w:val="0"/>
          <w:numId w:val="30"/>
        </w:numPr>
        <w:rPr>
          <w:sz w:val="22"/>
          <w:szCs w:val="22"/>
          <w:lang w:val="en-US"/>
        </w:rPr>
      </w:pPr>
      <w:r w:rsidRPr="00523E1B">
        <w:rPr>
          <w:sz w:val="22"/>
          <w:szCs w:val="22"/>
          <w:lang w:val="en-US"/>
        </w:rPr>
        <w:t xml:space="preserve">Government of Syria, Ministry of Housing and Urban Development, </w:t>
      </w:r>
      <w:hyperlink r:id="rId18" w:history="1">
        <w:r w:rsidRPr="00523E1B">
          <w:rPr>
            <w:rStyle w:val="Hyperlink"/>
            <w:sz w:val="22"/>
            <w:szCs w:val="22"/>
            <w:lang w:val="en-US"/>
          </w:rPr>
          <w:t>http://mohud.gov.sy/?page=category&amp;category_id=3&amp;lang=en</w:t>
        </w:r>
      </w:hyperlink>
      <w:r w:rsidRPr="00523E1B">
        <w:rPr>
          <w:sz w:val="22"/>
          <w:szCs w:val="22"/>
          <w:lang w:val="en-US"/>
        </w:rPr>
        <w:t xml:space="preserve"> </w:t>
      </w:r>
    </w:p>
    <w:p w:rsidR="002E7D99" w:rsidRPr="00523E1B" w:rsidRDefault="00523E1B" w:rsidP="009638EA">
      <w:pPr>
        <w:pStyle w:val="FootnoteText"/>
        <w:numPr>
          <w:ilvl w:val="0"/>
          <w:numId w:val="30"/>
        </w:numPr>
        <w:jc w:val="both"/>
        <w:rPr>
          <w:sz w:val="22"/>
          <w:szCs w:val="22"/>
          <w:lang w:val="en-US"/>
        </w:rPr>
      </w:pPr>
      <w:r w:rsidRPr="00523E1B">
        <w:rPr>
          <w:sz w:val="22"/>
          <w:szCs w:val="22"/>
          <w:lang w:val="en-US"/>
        </w:rPr>
        <w:t xml:space="preserve">United Nations Development Assistance Framework, Syrian Arab Republic, 2007-2011, </w:t>
      </w:r>
      <w:r w:rsidRPr="00523E1B">
        <w:rPr>
          <w:sz w:val="22"/>
          <w:szCs w:val="22"/>
        </w:rPr>
        <w:t xml:space="preserve"> </w:t>
      </w:r>
      <w:hyperlink r:id="rId19" w:history="1">
        <w:r w:rsidRPr="00523E1B">
          <w:rPr>
            <w:rStyle w:val="Hyperlink"/>
            <w:sz w:val="22"/>
            <w:szCs w:val="22"/>
            <w:lang w:val="en-US"/>
          </w:rPr>
          <w:t>https://undg.org/home/country-teams/arab-states/syrian-arab-republic/</w:t>
        </w:r>
      </w:hyperlink>
      <w:r w:rsidRPr="00523E1B">
        <w:rPr>
          <w:sz w:val="22"/>
          <w:szCs w:val="22"/>
          <w:lang w:val="en-US"/>
        </w:rPr>
        <w:t xml:space="preserve"> </w:t>
      </w:r>
    </w:p>
    <w:p w:rsidR="00523E1B" w:rsidRPr="00523E1B" w:rsidRDefault="00523E1B" w:rsidP="009638EA">
      <w:pPr>
        <w:pStyle w:val="FootnoteText"/>
        <w:numPr>
          <w:ilvl w:val="0"/>
          <w:numId w:val="30"/>
        </w:numPr>
        <w:rPr>
          <w:sz w:val="22"/>
          <w:szCs w:val="22"/>
          <w:lang w:val="en-US"/>
        </w:rPr>
      </w:pPr>
      <w:r w:rsidRPr="00523E1B">
        <w:rPr>
          <w:sz w:val="22"/>
          <w:szCs w:val="22"/>
          <w:lang w:val="en-US"/>
        </w:rPr>
        <w:t xml:space="preserve">Government of Syria, Ministry of Housing and Urban Development, </w:t>
      </w:r>
      <w:hyperlink r:id="rId20" w:history="1">
        <w:r w:rsidRPr="00523E1B">
          <w:rPr>
            <w:rStyle w:val="Hyperlink"/>
            <w:sz w:val="22"/>
            <w:szCs w:val="22"/>
            <w:lang w:val="en-US"/>
          </w:rPr>
          <w:t>http://mohud.gov.sy/?page=category&amp;category_id=3&amp;lang=en</w:t>
        </w:r>
      </w:hyperlink>
      <w:r w:rsidRPr="00523E1B">
        <w:rPr>
          <w:sz w:val="22"/>
          <w:szCs w:val="22"/>
          <w:lang w:val="en-US"/>
        </w:rPr>
        <w:t xml:space="preserve"> </w:t>
      </w:r>
    </w:p>
    <w:p w:rsidR="00523E1B" w:rsidRPr="00523E1B" w:rsidRDefault="00523E1B" w:rsidP="009638EA">
      <w:pPr>
        <w:pStyle w:val="FootnoteText"/>
        <w:numPr>
          <w:ilvl w:val="0"/>
          <w:numId w:val="30"/>
        </w:numPr>
        <w:rPr>
          <w:sz w:val="22"/>
          <w:szCs w:val="22"/>
          <w:lang w:val="en-US"/>
        </w:rPr>
      </w:pPr>
      <w:r w:rsidRPr="00523E1B">
        <w:rPr>
          <w:sz w:val="22"/>
          <w:szCs w:val="22"/>
        </w:rPr>
        <w:t>http://www.state.gov/j/drl/rls/hrrpt/2001/nea/8298.htm</w:t>
      </w:r>
    </w:p>
    <w:p w:rsidR="00523E1B" w:rsidRPr="00523E1B" w:rsidRDefault="00523E1B" w:rsidP="009638EA">
      <w:pPr>
        <w:pStyle w:val="FootnoteText"/>
        <w:numPr>
          <w:ilvl w:val="0"/>
          <w:numId w:val="30"/>
        </w:numPr>
        <w:jc w:val="both"/>
        <w:rPr>
          <w:sz w:val="22"/>
          <w:szCs w:val="22"/>
          <w:lang w:val="en-US"/>
        </w:rPr>
      </w:pPr>
      <w:r w:rsidRPr="00523E1B">
        <w:rPr>
          <w:sz w:val="22"/>
          <w:szCs w:val="22"/>
          <w:lang w:val="en-US"/>
        </w:rPr>
        <w:t xml:space="preserve">Office of the High Commissioner for Human Rights, </w:t>
      </w:r>
      <w:r w:rsidRPr="00523E1B">
        <w:rPr>
          <w:i/>
          <w:sz w:val="22"/>
          <w:szCs w:val="22"/>
          <w:lang w:val="en-US"/>
        </w:rPr>
        <w:t>Status of Ratification Interactive Dashboard</w:t>
      </w:r>
      <w:r w:rsidRPr="00523E1B">
        <w:rPr>
          <w:sz w:val="22"/>
          <w:szCs w:val="22"/>
          <w:lang w:val="en-US"/>
        </w:rPr>
        <w:t xml:space="preserve">, </w:t>
      </w:r>
      <w:hyperlink r:id="rId21" w:history="1">
        <w:r w:rsidRPr="00523E1B">
          <w:rPr>
            <w:rStyle w:val="Hyperlink"/>
            <w:sz w:val="22"/>
            <w:szCs w:val="22"/>
            <w:lang w:val="en-US"/>
          </w:rPr>
          <w:t>http://indicators.ohchr.org/</w:t>
        </w:r>
      </w:hyperlink>
      <w:r w:rsidRPr="00523E1B">
        <w:rPr>
          <w:sz w:val="22"/>
          <w:szCs w:val="22"/>
          <w:lang w:val="en-US"/>
        </w:rPr>
        <w:t xml:space="preserve"> </w:t>
      </w:r>
    </w:p>
    <w:p w:rsidR="00523E1B" w:rsidRPr="00523E1B" w:rsidRDefault="00523E1B" w:rsidP="009638EA">
      <w:pPr>
        <w:pStyle w:val="FootnoteText"/>
        <w:numPr>
          <w:ilvl w:val="0"/>
          <w:numId w:val="30"/>
        </w:numPr>
        <w:jc w:val="both"/>
        <w:rPr>
          <w:sz w:val="22"/>
          <w:szCs w:val="22"/>
          <w:lang w:val="en-US"/>
        </w:rPr>
      </w:pPr>
      <w:r w:rsidRPr="00523E1B">
        <w:rPr>
          <w:sz w:val="22"/>
          <w:szCs w:val="22"/>
          <w:lang w:val="en-US"/>
        </w:rPr>
        <w:t xml:space="preserve">Office of the High Commissioner for Human Rights, </w:t>
      </w:r>
      <w:r w:rsidRPr="00523E1B">
        <w:rPr>
          <w:i/>
          <w:sz w:val="22"/>
          <w:szCs w:val="22"/>
          <w:lang w:val="en-US"/>
        </w:rPr>
        <w:t>The National Report</w:t>
      </w:r>
      <w:r w:rsidRPr="00523E1B">
        <w:rPr>
          <w:sz w:val="22"/>
          <w:szCs w:val="22"/>
          <w:lang w:val="en-US"/>
        </w:rPr>
        <w:t xml:space="preserve">, </w:t>
      </w:r>
      <w:r w:rsidRPr="00523E1B">
        <w:rPr>
          <w:sz w:val="22"/>
          <w:szCs w:val="22"/>
        </w:rPr>
        <w:t xml:space="preserve"> </w:t>
      </w:r>
      <w:hyperlink r:id="rId22" w:history="1">
        <w:r w:rsidRPr="00523E1B">
          <w:rPr>
            <w:rStyle w:val="Hyperlink"/>
            <w:sz w:val="22"/>
            <w:szCs w:val="22"/>
            <w:lang w:val="en-US"/>
          </w:rPr>
          <w:t>http://www.ohchr.org/EN/HRBodies/UPR/Pages/SYSession12.aspx</w:t>
        </w:r>
      </w:hyperlink>
    </w:p>
    <w:p w:rsidR="00523E1B" w:rsidRPr="00523E1B" w:rsidRDefault="00523E1B" w:rsidP="009638EA">
      <w:pPr>
        <w:pStyle w:val="FootnoteText"/>
        <w:numPr>
          <w:ilvl w:val="0"/>
          <w:numId w:val="30"/>
        </w:numPr>
        <w:jc w:val="both"/>
        <w:rPr>
          <w:sz w:val="22"/>
          <w:szCs w:val="22"/>
          <w:lang w:val="en-US"/>
        </w:rPr>
      </w:pPr>
      <w:r w:rsidRPr="00523E1B">
        <w:rPr>
          <w:sz w:val="22"/>
          <w:szCs w:val="22"/>
          <w:lang w:val="en-US"/>
        </w:rPr>
        <w:t xml:space="preserve">Office of the High Commissioner for Human Rights, </w:t>
      </w:r>
      <w:r w:rsidRPr="00523E1B">
        <w:rPr>
          <w:i/>
          <w:sz w:val="22"/>
          <w:szCs w:val="22"/>
          <w:lang w:val="en-US"/>
        </w:rPr>
        <w:t>Compilation of UN Information</w:t>
      </w:r>
      <w:r w:rsidRPr="00523E1B">
        <w:rPr>
          <w:sz w:val="22"/>
          <w:szCs w:val="22"/>
          <w:lang w:val="en-US"/>
        </w:rPr>
        <w:t xml:space="preserve">, </w:t>
      </w:r>
      <w:r w:rsidRPr="00523E1B">
        <w:rPr>
          <w:sz w:val="22"/>
          <w:szCs w:val="22"/>
        </w:rPr>
        <w:t xml:space="preserve"> </w:t>
      </w:r>
      <w:hyperlink r:id="rId23" w:history="1">
        <w:r w:rsidRPr="00523E1B">
          <w:rPr>
            <w:rStyle w:val="Hyperlink"/>
            <w:sz w:val="22"/>
            <w:szCs w:val="22"/>
            <w:lang w:val="en-US"/>
          </w:rPr>
          <w:t>http://www.ohchr.org/EN/HRBodies/UPR/Pages/SYSession12.aspx</w:t>
        </w:r>
      </w:hyperlink>
      <w:r w:rsidRPr="00523E1B">
        <w:rPr>
          <w:sz w:val="22"/>
          <w:szCs w:val="22"/>
          <w:lang w:val="en-US"/>
        </w:rPr>
        <w:t xml:space="preserve"> </w:t>
      </w:r>
    </w:p>
    <w:p w:rsidR="00523E1B" w:rsidRPr="00523E1B" w:rsidRDefault="00523E1B" w:rsidP="009638EA">
      <w:pPr>
        <w:pStyle w:val="FootnoteText"/>
        <w:numPr>
          <w:ilvl w:val="0"/>
          <w:numId w:val="30"/>
        </w:numPr>
        <w:jc w:val="both"/>
        <w:rPr>
          <w:sz w:val="22"/>
          <w:szCs w:val="22"/>
          <w:lang w:val="en-US"/>
        </w:rPr>
      </w:pPr>
      <w:r w:rsidRPr="00523E1B">
        <w:rPr>
          <w:sz w:val="22"/>
          <w:szCs w:val="22"/>
          <w:lang w:val="en-US"/>
        </w:rPr>
        <w:t xml:space="preserve">Office of the High Commissioner for Human Rights, </w:t>
      </w:r>
      <w:r w:rsidRPr="00523E1B">
        <w:rPr>
          <w:i/>
          <w:sz w:val="22"/>
          <w:szCs w:val="22"/>
          <w:lang w:val="en-US"/>
        </w:rPr>
        <w:t>Summary of Stakeholder Information</w:t>
      </w:r>
      <w:r w:rsidRPr="00523E1B">
        <w:rPr>
          <w:sz w:val="22"/>
          <w:szCs w:val="22"/>
          <w:lang w:val="en-US"/>
        </w:rPr>
        <w:t xml:space="preserve"> </w:t>
      </w:r>
      <w:hyperlink r:id="rId24" w:history="1">
        <w:r w:rsidRPr="00523E1B">
          <w:rPr>
            <w:rStyle w:val="Hyperlink"/>
            <w:sz w:val="22"/>
            <w:szCs w:val="22"/>
            <w:lang w:val="en-US"/>
          </w:rPr>
          <w:t>http://www.ohchr.org/EN/HRBodies/UPR/Pages/SYSession12.aspx</w:t>
        </w:r>
      </w:hyperlink>
    </w:p>
    <w:p w:rsidR="00523E1B" w:rsidRPr="00523E1B" w:rsidRDefault="00523E1B" w:rsidP="009638EA">
      <w:pPr>
        <w:pStyle w:val="FootnoteText"/>
        <w:numPr>
          <w:ilvl w:val="0"/>
          <w:numId w:val="30"/>
        </w:numPr>
        <w:jc w:val="both"/>
        <w:rPr>
          <w:sz w:val="22"/>
          <w:szCs w:val="22"/>
          <w:lang w:val="en-US"/>
        </w:rPr>
      </w:pPr>
      <w:r w:rsidRPr="00523E1B">
        <w:rPr>
          <w:sz w:val="22"/>
          <w:szCs w:val="22"/>
          <w:lang w:val="en-US"/>
        </w:rPr>
        <w:t xml:space="preserve">UN-Habitat Syria, </w:t>
      </w:r>
      <w:hyperlink r:id="rId25" w:history="1">
        <w:r w:rsidRPr="00523E1B">
          <w:rPr>
            <w:rStyle w:val="Hyperlink"/>
            <w:sz w:val="22"/>
            <w:szCs w:val="22"/>
            <w:lang w:val="en-US"/>
          </w:rPr>
          <w:t>http://unhabitat.org/syria/</w:t>
        </w:r>
      </w:hyperlink>
    </w:p>
    <w:p w:rsidR="00523E1B" w:rsidRPr="009638EA" w:rsidRDefault="00523E1B" w:rsidP="009638EA">
      <w:pPr>
        <w:pStyle w:val="FootnoteText"/>
        <w:numPr>
          <w:ilvl w:val="0"/>
          <w:numId w:val="30"/>
        </w:numPr>
        <w:jc w:val="both"/>
        <w:rPr>
          <w:rStyle w:val="Hyperlink"/>
          <w:color w:val="auto"/>
          <w:sz w:val="22"/>
          <w:szCs w:val="22"/>
          <w:u w:val="none"/>
          <w:lang w:val="en-US"/>
        </w:rPr>
      </w:pPr>
      <w:r w:rsidRPr="009638EA">
        <w:rPr>
          <w:sz w:val="22"/>
          <w:szCs w:val="22"/>
          <w:lang w:val="en-US"/>
        </w:rPr>
        <w:t xml:space="preserve">United Nations Development Group, Syria Arab Republic, </w:t>
      </w:r>
      <w:r w:rsidRPr="00523E1B">
        <w:rPr>
          <w:sz w:val="22"/>
          <w:szCs w:val="22"/>
        </w:rPr>
        <w:t xml:space="preserve"> </w:t>
      </w:r>
      <w:hyperlink r:id="rId26" w:history="1">
        <w:r w:rsidRPr="009638EA">
          <w:rPr>
            <w:rStyle w:val="Hyperlink"/>
            <w:sz w:val="22"/>
            <w:szCs w:val="22"/>
            <w:lang w:val="en-US"/>
          </w:rPr>
          <w:t>https://undg.org/home/country-teams/arab-states/syrian-arab-republic/</w:t>
        </w:r>
      </w:hyperlink>
    </w:p>
    <w:p w:rsidR="009638EA" w:rsidRDefault="009638EA" w:rsidP="009638EA">
      <w:pPr>
        <w:pStyle w:val="FootnoteText"/>
        <w:jc w:val="both"/>
        <w:rPr>
          <w:rStyle w:val="Hyperlink"/>
          <w:sz w:val="22"/>
          <w:szCs w:val="22"/>
          <w:lang w:val="en-US"/>
        </w:rPr>
      </w:pPr>
    </w:p>
    <w:p w:rsidR="009638EA" w:rsidRDefault="009638EA" w:rsidP="009638EA">
      <w:pPr>
        <w:pStyle w:val="FootnoteText"/>
        <w:jc w:val="both"/>
        <w:rPr>
          <w:rStyle w:val="Hyperlink"/>
          <w:sz w:val="22"/>
          <w:szCs w:val="22"/>
          <w:lang w:val="en-US"/>
        </w:rPr>
      </w:pPr>
    </w:p>
    <w:p w:rsidR="009638EA" w:rsidRDefault="009638EA" w:rsidP="009638EA">
      <w:pPr>
        <w:pStyle w:val="FootnoteText"/>
        <w:jc w:val="both"/>
        <w:rPr>
          <w:rStyle w:val="Hyperlink"/>
          <w:sz w:val="22"/>
          <w:szCs w:val="22"/>
          <w:lang w:val="en-US"/>
        </w:rPr>
      </w:pPr>
    </w:p>
    <w:sectPr w:rsidR="009638EA" w:rsidSect="007C4F87">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D8" w:rsidRDefault="000F4ED8" w:rsidP="00E70BF1">
      <w:pPr>
        <w:spacing w:after="0" w:line="240" w:lineRule="auto"/>
      </w:pPr>
      <w:r>
        <w:separator/>
      </w:r>
    </w:p>
  </w:endnote>
  <w:endnote w:type="continuationSeparator" w:id="0">
    <w:p w:rsidR="000F4ED8" w:rsidRDefault="000F4ED8" w:rsidP="00E70BF1">
      <w:pPr>
        <w:spacing w:after="0" w:line="240" w:lineRule="auto"/>
      </w:pPr>
      <w:r>
        <w:continuationSeparator/>
      </w:r>
    </w:p>
  </w:endnote>
  <w:endnote w:id="1">
    <w:p w:rsidR="00015318" w:rsidRPr="004975AE" w:rsidRDefault="00015318" w:rsidP="00523E1B">
      <w:pPr>
        <w:pStyle w:val="EndnoteText"/>
        <w:widowControl w:val="0"/>
        <w:tabs>
          <w:tab w:val="clear" w:pos="1021"/>
          <w:tab w:val="right" w:pos="1020"/>
        </w:tabs>
        <w:ind w:left="0" w:firstLine="0"/>
        <w:rPr>
          <w:lang w:val="es-ES_tradnl"/>
        </w:rPr>
      </w:pPr>
    </w:p>
  </w:endnote>
  <w:endnote w:id="2">
    <w:p w:rsidR="00015318" w:rsidRPr="004975AE" w:rsidRDefault="00015318" w:rsidP="00523E1B">
      <w:pPr>
        <w:pStyle w:val="EndnoteText"/>
        <w:widowControl w:val="0"/>
        <w:tabs>
          <w:tab w:val="clear" w:pos="1021"/>
          <w:tab w:val="right" w:pos="1020"/>
        </w:tabs>
        <w:ind w:left="0" w:firstLine="0"/>
        <w:rPr>
          <w:lang w:val="es-ES_tradnl"/>
        </w:rPr>
      </w:pPr>
    </w:p>
  </w:endnote>
  <w:endnote w:id="3">
    <w:p w:rsidR="00015318" w:rsidRPr="004975AE" w:rsidRDefault="00015318" w:rsidP="00523E1B">
      <w:pPr>
        <w:pStyle w:val="EndnoteText"/>
        <w:widowControl w:val="0"/>
        <w:tabs>
          <w:tab w:val="clear" w:pos="1021"/>
          <w:tab w:val="right" w:pos="1020"/>
        </w:tabs>
        <w:ind w:left="0" w:firstLine="0"/>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18" w:rsidRDefault="00015318" w:rsidP="00523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5318" w:rsidRDefault="00015318" w:rsidP="00523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18" w:rsidRDefault="00015318" w:rsidP="00523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6E6">
      <w:rPr>
        <w:rStyle w:val="PageNumber"/>
        <w:noProof/>
      </w:rPr>
      <w:t>11</w:t>
    </w:r>
    <w:r>
      <w:rPr>
        <w:rStyle w:val="PageNumber"/>
      </w:rPr>
      <w:fldChar w:fldCharType="end"/>
    </w:r>
  </w:p>
  <w:p w:rsidR="00015318" w:rsidRDefault="00015318" w:rsidP="00523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D8" w:rsidRDefault="000F4ED8" w:rsidP="00E70BF1">
      <w:pPr>
        <w:spacing w:after="0" w:line="240" w:lineRule="auto"/>
      </w:pPr>
      <w:r>
        <w:separator/>
      </w:r>
    </w:p>
  </w:footnote>
  <w:footnote w:type="continuationSeparator" w:id="0">
    <w:p w:rsidR="000F4ED8" w:rsidRDefault="000F4ED8" w:rsidP="00E70BF1">
      <w:pPr>
        <w:spacing w:after="0" w:line="240" w:lineRule="auto"/>
      </w:pPr>
      <w:r>
        <w:continuationSeparator/>
      </w:r>
    </w:p>
  </w:footnote>
  <w:footnote w:id="1">
    <w:p w:rsidR="00015318" w:rsidRPr="00986B6F" w:rsidRDefault="00015318">
      <w:pPr>
        <w:pStyle w:val="FootnoteText"/>
        <w:rPr>
          <w:lang w:val="en-US"/>
        </w:rPr>
      </w:pPr>
      <w:r>
        <w:rPr>
          <w:rStyle w:val="FootnoteReference"/>
        </w:rPr>
        <w:footnoteRef/>
      </w:r>
      <w:r>
        <w:t xml:space="preserve"> </w:t>
      </w:r>
      <w:proofErr w:type="gramStart"/>
      <w:r>
        <w:rPr>
          <w:lang w:val="en-US"/>
        </w:rPr>
        <w:t>The Constitution of the Syrian Arab Republic, 2012 &lt;</w:t>
      </w:r>
      <w:r w:rsidRPr="00986B6F">
        <w:t xml:space="preserve"> </w:t>
      </w:r>
      <w:hyperlink r:id="rId1" w:history="1">
        <w:r w:rsidRPr="00B82434">
          <w:rPr>
            <w:rStyle w:val="Hyperlink"/>
            <w:lang w:val="en-US"/>
          </w:rPr>
          <w:t>http://www.ilo.org/wcmsp5/groups/public/---</w:t>
        </w:r>
        <w:proofErr w:type="spellStart"/>
        <w:r w:rsidRPr="00B82434">
          <w:rPr>
            <w:rStyle w:val="Hyperlink"/>
            <w:lang w:val="en-US"/>
          </w:rPr>
          <w:t>ed_protect</w:t>
        </w:r>
        <w:proofErr w:type="spellEnd"/>
        <w:r w:rsidRPr="00B82434">
          <w:rPr>
            <w:rStyle w:val="Hyperlink"/>
            <w:lang w:val="en-US"/>
          </w:rPr>
          <w:t>/---</w:t>
        </w:r>
        <w:proofErr w:type="spellStart"/>
        <w:r w:rsidRPr="00B82434">
          <w:rPr>
            <w:rStyle w:val="Hyperlink"/>
            <w:lang w:val="en-US"/>
          </w:rPr>
          <w:t>protrav</w:t>
        </w:r>
        <w:proofErr w:type="spellEnd"/>
        <w:r w:rsidRPr="00B82434">
          <w:rPr>
            <w:rStyle w:val="Hyperlink"/>
            <w:lang w:val="en-US"/>
          </w:rPr>
          <w:t>/---</w:t>
        </w:r>
        <w:proofErr w:type="spellStart"/>
        <w:r w:rsidRPr="00B82434">
          <w:rPr>
            <w:rStyle w:val="Hyperlink"/>
            <w:lang w:val="en-US"/>
          </w:rPr>
          <w:t>ilo_aids</w:t>
        </w:r>
        <w:proofErr w:type="spellEnd"/>
        <w:r w:rsidRPr="00B82434">
          <w:rPr>
            <w:rStyle w:val="Hyperlink"/>
            <w:lang w:val="en-US"/>
          </w:rPr>
          <w:t>/documents/</w:t>
        </w:r>
        <w:proofErr w:type="spellStart"/>
        <w:r w:rsidRPr="00B82434">
          <w:rPr>
            <w:rStyle w:val="Hyperlink"/>
            <w:lang w:val="en-US"/>
          </w:rPr>
          <w:t>legaldocument</w:t>
        </w:r>
        <w:proofErr w:type="spellEnd"/>
        <w:r w:rsidRPr="00B82434">
          <w:rPr>
            <w:rStyle w:val="Hyperlink"/>
            <w:lang w:val="en-US"/>
          </w:rPr>
          <w:t>/wcms_125885.pdf</w:t>
        </w:r>
      </w:hyperlink>
      <w:r>
        <w:rPr>
          <w:lang w:val="en-US"/>
        </w:rPr>
        <w:t>&gt; Accessed 29 April 2016.</w:t>
      </w:r>
      <w:proofErr w:type="gramEnd"/>
    </w:p>
  </w:footnote>
  <w:footnote w:id="2">
    <w:p w:rsidR="005A1868" w:rsidRPr="0048331C" w:rsidRDefault="005A1868" w:rsidP="005A1868">
      <w:pPr>
        <w:pStyle w:val="FootnoteText"/>
        <w:rPr>
          <w:lang w:val="en-US"/>
        </w:rPr>
      </w:pPr>
      <w:r>
        <w:rPr>
          <w:rStyle w:val="FootnoteReference"/>
        </w:rPr>
        <w:footnoteRef/>
      </w:r>
      <w:r>
        <w:t xml:space="preserve"> </w:t>
      </w:r>
      <w:proofErr w:type="gramStart"/>
      <w:r>
        <w:rPr>
          <w:lang w:val="en-US"/>
        </w:rPr>
        <w:t xml:space="preserve">UN-Habitat, </w:t>
      </w:r>
      <w:r w:rsidRPr="00AF6B72">
        <w:rPr>
          <w:i/>
          <w:lang w:val="en-US"/>
        </w:rPr>
        <w:t>Syria Crisis Response 2014,</w:t>
      </w:r>
      <w:r>
        <w:rPr>
          <w:lang w:val="en-US"/>
        </w:rPr>
        <w:t xml:space="preserve"> &lt;</w:t>
      </w:r>
      <w:r>
        <w:rPr>
          <w:rFonts w:ascii="Times" w:eastAsia="Times New Roman" w:hAnsi="Times" w:cs="Times New Roman"/>
          <w:lang w:val="en-US"/>
        </w:rPr>
        <w:t>h</w:t>
      </w:r>
      <w:hyperlink r:id="rId2" w:history="1">
        <w:r w:rsidRPr="00AF6B72">
          <w:rPr>
            <w:rStyle w:val="Hyperlink"/>
            <w:lang w:val="en-US"/>
          </w:rPr>
          <w:t>ttp://mirror.unhabitat.org/pmss/getElectronicVersion.aspx?nr=3546&amp;alt=1</w:t>
        </w:r>
      </w:hyperlink>
      <w:r w:rsidRPr="00AF6B72">
        <w:rPr>
          <w:lang w:val="en-US"/>
        </w:rPr>
        <w:t>.</w:t>
      </w:r>
      <w:r>
        <w:rPr>
          <w:lang w:val="en-US"/>
        </w:rPr>
        <w:t>&gt; Accessed 29 April 2016.</w:t>
      </w:r>
      <w:proofErr w:type="gramEnd"/>
    </w:p>
  </w:footnote>
  <w:footnote w:id="3">
    <w:p w:rsidR="00015318" w:rsidRPr="00E4309A" w:rsidRDefault="00015318">
      <w:pPr>
        <w:pStyle w:val="FootnoteText"/>
        <w:rPr>
          <w:lang w:val="en-US"/>
        </w:rPr>
      </w:pPr>
      <w:r>
        <w:rPr>
          <w:rStyle w:val="FootnoteReference"/>
        </w:rPr>
        <w:footnoteRef/>
      </w:r>
      <w:r>
        <w:t xml:space="preserve"> </w:t>
      </w:r>
      <w:proofErr w:type="gramStart"/>
      <w:r>
        <w:rPr>
          <w:lang w:val="en-US"/>
        </w:rPr>
        <w:t>The Constitution of the Syrian Arab Republic, 2012</w:t>
      </w:r>
      <w:r w:rsidR="005A1868">
        <w:rPr>
          <w:lang w:val="en-US"/>
        </w:rPr>
        <w:t>,</w:t>
      </w:r>
      <w:r w:rsidRPr="00986B6F">
        <w:t xml:space="preserve"> </w:t>
      </w:r>
      <w:r w:rsidRPr="009638EA">
        <w:rPr>
          <w:lang w:val="en-US"/>
        </w:rPr>
        <w:t>http://www.ilo.org/wcmsp5/groups/public/---</w:t>
      </w:r>
      <w:proofErr w:type="spellStart"/>
      <w:r w:rsidRPr="009638EA">
        <w:rPr>
          <w:lang w:val="en-US"/>
        </w:rPr>
        <w:t>ed_protect</w:t>
      </w:r>
      <w:proofErr w:type="spellEnd"/>
      <w:r w:rsidRPr="009638EA">
        <w:rPr>
          <w:lang w:val="en-US"/>
        </w:rPr>
        <w:t>/---</w:t>
      </w:r>
      <w:proofErr w:type="spellStart"/>
      <w:r w:rsidRPr="009638EA">
        <w:rPr>
          <w:lang w:val="en-US"/>
        </w:rPr>
        <w:t>protrav</w:t>
      </w:r>
      <w:proofErr w:type="spellEnd"/>
      <w:r w:rsidRPr="009638EA">
        <w:rPr>
          <w:lang w:val="en-US"/>
        </w:rPr>
        <w:t>/---</w:t>
      </w:r>
      <w:proofErr w:type="spellStart"/>
      <w:r w:rsidRPr="009638EA">
        <w:rPr>
          <w:lang w:val="en-US"/>
        </w:rPr>
        <w:t>ilo_aids</w:t>
      </w:r>
      <w:proofErr w:type="spellEnd"/>
      <w:r w:rsidRPr="009638EA">
        <w:rPr>
          <w:lang w:val="en-US"/>
        </w:rPr>
        <w:t>/documents/</w:t>
      </w:r>
      <w:proofErr w:type="spellStart"/>
      <w:r w:rsidRPr="009638EA">
        <w:rPr>
          <w:lang w:val="en-US"/>
        </w:rPr>
        <w:t>legaldocument</w:t>
      </w:r>
      <w:proofErr w:type="spellEnd"/>
      <w:r w:rsidRPr="009638EA">
        <w:rPr>
          <w:lang w:val="en-US"/>
        </w:rPr>
        <w:t>/wcms_125885.pdf</w:t>
      </w:r>
      <w:r w:rsidR="005A1868">
        <w:rPr>
          <w:lang w:val="en-US"/>
        </w:rPr>
        <w:t>,</w:t>
      </w:r>
      <w:r>
        <w:rPr>
          <w:lang w:val="en-US"/>
        </w:rPr>
        <w:t xml:space="preserve"> Accessed 29 April 2016.</w:t>
      </w:r>
      <w:proofErr w:type="gramEnd"/>
    </w:p>
  </w:footnote>
  <w:footnote w:id="4"/>
  <w:footnote w:id="5">
    <w:p w:rsidR="00015318" w:rsidRPr="003C61A0" w:rsidRDefault="00015318">
      <w:pPr>
        <w:pStyle w:val="FootnoteText"/>
        <w:rPr>
          <w:lang w:val="en-US"/>
        </w:rPr>
      </w:pPr>
      <w:r>
        <w:rPr>
          <w:rStyle w:val="FootnoteReference"/>
        </w:rPr>
        <w:footnoteRef/>
      </w:r>
      <w:r>
        <w:t xml:space="preserve"> </w:t>
      </w:r>
      <w:proofErr w:type="gramStart"/>
      <w:r w:rsidRPr="003C61A0">
        <w:t>Constit</w:t>
      </w:r>
      <w:r>
        <w:t>ution of Syria.</w:t>
      </w:r>
      <w:proofErr w:type="gramEnd"/>
      <w:r>
        <w:t xml:space="preserve"> Articles 58–59</w:t>
      </w:r>
    </w:p>
  </w:footnote>
  <w:footnote w:id="6">
    <w:p w:rsidR="00015318" w:rsidRPr="003C61A0" w:rsidRDefault="00015318">
      <w:pPr>
        <w:pStyle w:val="FootnoteText"/>
        <w:rPr>
          <w:lang w:val="en-US"/>
        </w:rPr>
      </w:pPr>
      <w:r>
        <w:rPr>
          <w:rStyle w:val="FootnoteReference"/>
        </w:rPr>
        <w:footnoteRef/>
      </w:r>
      <w:r>
        <w:t xml:space="preserve"> </w:t>
      </w:r>
      <w:proofErr w:type="gramStart"/>
      <w:r w:rsidRPr="003C61A0">
        <w:t>Constitu</w:t>
      </w:r>
      <w:r>
        <w:t>tion of Syria.</w:t>
      </w:r>
      <w:proofErr w:type="gramEnd"/>
      <w:r>
        <w:t xml:space="preserve"> </w:t>
      </w:r>
      <w:proofErr w:type="gramStart"/>
      <w:r>
        <w:t>Articles 83–118.</w:t>
      </w:r>
      <w:proofErr w:type="gramEnd"/>
    </w:p>
  </w:footnote>
  <w:footnote w:id="7">
    <w:p w:rsidR="00015318" w:rsidRPr="003C61A0" w:rsidRDefault="00015318">
      <w:pPr>
        <w:pStyle w:val="FootnoteText"/>
        <w:rPr>
          <w:lang w:val="en-US"/>
        </w:rPr>
      </w:pPr>
      <w:r>
        <w:rPr>
          <w:rStyle w:val="FootnoteReference"/>
        </w:rPr>
        <w:footnoteRef/>
      </w:r>
      <w:r>
        <w:t xml:space="preserve"> </w:t>
      </w:r>
      <w:proofErr w:type="gramStart"/>
      <w:r w:rsidRPr="003C61A0">
        <w:t>Constitution of Syria.</w:t>
      </w:r>
      <w:proofErr w:type="gramEnd"/>
      <w:r w:rsidRPr="003C61A0">
        <w:t xml:space="preserve"> Arti</w:t>
      </w:r>
      <w:r>
        <w:t>cle 75(1)2)(4)</w:t>
      </w:r>
    </w:p>
  </w:footnote>
  <w:footnote w:id="8">
    <w:p w:rsidR="00015318" w:rsidRPr="003C61A0" w:rsidRDefault="00015318">
      <w:pPr>
        <w:pStyle w:val="FootnoteText"/>
        <w:rPr>
          <w:lang w:val="en-US"/>
        </w:rPr>
      </w:pPr>
      <w:r>
        <w:rPr>
          <w:rStyle w:val="FootnoteReference"/>
        </w:rPr>
        <w:footnoteRef/>
      </w:r>
      <w:r>
        <w:t xml:space="preserve"> </w:t>
      </w:r>
      <w:proofErr w:type="gramStart"/>
      <w:r w:rsidRPr="003C61A0">
        <w:t>Constit</w:t>
      </w:r>
      <w:r>
        <w:t>ution of Syria.</w:t>
      </w:r>
      <w:proofErr w:type="gramEnd"/>
      <w:r>
        <w:t xml:space="preserve"> </w:t>
      </w:r>
      <w:proofErr w:type="gramStart"/>
      <w:r>
        <w:t>Article 77(2).</w:t>
      </w:r>
      <w:proofErr w:type="gramEnd"/>
    </w:p>
  </w:footnote>
  <w:footnote w:id="9">
    <w:p w:rsidR="00015318" w:rsidRPr="0048331C" w:rsidRDefault="00015318" w:rsidP="006356EB">
      <w:pPr>
        <w:pStyle w:val="FootnoteText"/>
        <w:rPr>
          <w:lang w:val="en-US"/>
        </w:rPr>
      </w:pPr>
      <w:r>
        <w:rPr>
          <w:rStyle w:val="FootnoteReference"/>
        </w:rPr>
        <w:footnoteRef/>
      </w:r>
      <w:r>
        <w:t xml:space="preserve"> </w:t>
      </w:r>
      <w:proofErr w:type="gramStart"/>
      <w:r>
        <w:rPr>
          <w:lang w:val="en-US"/>
        </w:rPr>
        <w:t xml:space="preserve">UN-Habitat, </w:t>
      </w:r>
      <w:r w:rsidRPr="00AF6B72">
        <w:rPr>
          <w:i/>
          <w:lang w:val="en-US"/>
        </w:rPr>
        <w:t>Syria Crisis Response 2014,</w:t>
      </w:r>
      <w:r>
        <w:rPr>
          <w:lang w:val="en-US"/>
        </w:rPr>
        <w:t xml:space="preserve"> &lt;</w:t>
      </w:r>
      <w:r>
        <w:rPr>
          <w:rFonts w:ascii="Times" w:eastAsia="Times New Roman" w:hAnsi="Times" w:cs="Times New Roman"/>
          <w:lang w:val="en-US"/>
        </w:rPr>
        <w:t>h</w:t>
      </w:r>
      <w:hyperlink r:id="rId3" w:history="1">
        <w:r w:rsidRPr="00AF6B72">
          <w:rPr>
            <w:rStyle w:val="Hyperlink"/>
            <w:lang w:val="en-US"/>
          </w:rPr>
          <w:t>ttp://mirror.unhabitat.org/pmss/getElectronicVersion.aspx?nr=3546&amp;alt=1</w:t>
        </w:r>
      </w:hyperlink>
      <w:r w:rsidRPr="00AF6B72">
        <w:rPr>
          <w:lang w:val="en-US"/>
        </w:rPr>
        <w:t>.</w:t>
      </w:r>
      <w:r>
        <w:rPr>
          <w:lang w:val="en-US"/>
        </w:rPr>
        <w:t>&gt; Accessed 29 April 2016.</w:t>
      </w:r>
      <w:proofErr w:type="gramEnd"/>
    </w:p>
  </w:footnote>
  <w:footnote w:id="10">
    <w:p w:rsidR="00015318" w:rsidRPr="00BB47EC" w:rsidRDefault="00015318">
      <w:pPr>
        <w:pStyle w:val="FootnoteText"/>
        <w:rPr>
          <w:lang w:val="en-US"/>
        </w:rPr>
      </w:pPr>
      <w:r>
        <w:rPr>
          <w:rStyle w:val="FootnoteReference"/>
        </w:rPr>
        <w:footnoteRef/>
      </w:r>
      <w:r>
        <w:t xml:space="preserve"> </w:t>
      </w:r>
      <w:r>
        <w:rPr>
          <w:lang w:val="en-US"/>
        </w:rPr>
        <w:t xml:space="preserve">Government of Syria, Ministry of Housing and Urban Development, </w:t>
      </w:r>
      <w:hyperlink r:id="rId4" w:history="1">
        <w:r w:rsidRPr="00B82434">
          <w:rPr>
            <w:rStyle w:val="Hyperlink"/>
            <w:lang w:val="en-US"/>
          </w:rPr>
          <w:t>http://mohud.gov.sy/?page=category&amp;category_id=3&amp;lang=en</w:t>
        </w:r>
      </w:hyperlink>
      <w:r>
        <w:rPr>
          <w:lang w:val="en-US"/>
        </w:rPr>
        <w:t xml:space="preserve"> Accessed 29 April 2016</w:t>
      </w:r>
    </w:p>
  </w:footnote>
  <w:footnote w:id="11">
    <w:p w:rsidR="00015318" w:rsidRPr="004E1819" w:rsidRDefault="00015318">
      <w:pPr>
        <w:pStyle w:val="FootnoteText"/>
        <w:rPr>
          <w:lang w:val="en-US"/>
        </w:rPr>
      </w:pPr>
      <w:r>
        <w:rPr>
          <w:rStyle w:val="FootnoteReference"/>
        </w:rPr>
        <w:footnoteRef/>
      </w:r>
      <w:r>
        <w:t xml:space="preserve"> </w:t>
      </w:r>
      <w:r w:rsidRPr="004E1819">
        <w:t>http://www.state.gov/j/drl/rls/hrrpt/2001/nea/8298.htm</w:t>
      </w:r>
    </w:p>
  </w:footnote>
  <w:footnote w:id="12">
    <w:p w:rsidR="00015318" w:rsidRPr="00376665" w:rsidRDefault="00015318">
      <w:pPr>
        <w:pStyle w:val="FootnoteText"/>
        <w:rPr>
          <w:lang w:val="en-US"/>
        </w:rPr>
      </w:pPr>
      <w:r>
        <w:rPr>
          <w:rStyle w:val="FootnoteReference"/>
        </w:rPr>
        <w:footnoteRef/>
      </w:r>
      <w:r w:rsidRPr="00376665">
        <w:t>http://indicators.ohchr.org/</w:t>
      </w:r>
    </w:p>
  </w:footnote>
  <w:footnote w:id="13">
    <w:p w:rsidR="00015318" w:rsidRPr="006356EB" w:rsidRDefault="00015318">
      <w:pPr>
        <w:pStyle w:val="FootnoteText"/>
        <w:rPr>
          <w:lang w:val="en-US"/>
        </w:rPr>
      </w:pPr>
      <w:r>
        <w:rPr>
          <w:rStyle w:val="FootnoteReference"/>
        </w:rPr>
        <w:footnoteRef/>
      </w:r>
      <w:r>
        <w:t xml:space="preserve"> </w:t>
      </w:r>
      <w:hyperlink r:id="rId5" w:history="1">
        <w:r w:rsidRPr="003B6964">
          <w:rPr>
            <w:rStyle w:val="Hyperlink"/>
          </w:rPr>
          <w:t>http://tbinternet.ohchr.org/_layouts/TreatyBodyExternal/Treaty.aspx?CountryID=1&amp;Lang=EN</w:t>
        </w:r>
      </w:hyperlink>
      <w:r>
        <w:t xml:space="preserve"> accessed on 2</w:t>
      </w:r>
      <w:r w:rsidRPr="006356EB">
        <w:rPr>
          <w:vertAlign w:val="superscript"/>
        </w:rPr>
        <w:t>nd</w:t>
      </w:r>
      <w:r>
        <w:t xml:space="preserve"> May, 2016 </w:t>
      </w:r>
    </w:p>
  </w:footnote>
  <w:footnote w:id="14">
    <w:p w:rsidR="00015318" w:rsidRPr="00E60CE7" w:rsidRDefault="00015318">
      <w:pPr>
        <w:pStyle w:val="FootnoteText"/>
        <w:rPr>
          <w:lang w:val="en-US"/>
        </w:rPr>
      </w:pPr>
      <w:r>
        <w:rPr>
          <w:rStyle w:val="FootnoteReference"/>
        </w:rPr>
        <w:footnoteRef/>
      </w:r>
      <w:r>
        <w:t xml:space="preserve"> </w:t>
      </w:r>
      <w:hyperlink r:id="rId6" w:history="1">
        <w:r w:rsidRPr="003B6964">
          <w:rPr>
            <w:rStyle w:val="Hyperlink"/>
          </w:rPr>
          <w:t>http://www.ohchr.org/EN/HRBodies/UPR/Pages/Documentation.aspx</w:t>
        </w:r>
      </w:hyperlink>
      <w:r>
        <w:t xml:space="preserve"> </w:t>
      </w:r>
    </w:p>
  </w:footnote>
  <w:footnote w:id="15">
    <w:p w:rsidR="00015318" w:rsidRPr="00E4309A" w:rsidRDefault="00015318">
      <w:pPr>
        <w:pStyle w:val="FootnoteText"/>
        <w:rPr>
          <w:lang w:val="en-US"/>
        </w:rPr>
      </w:pPr>
      <w:r>
        <w:rPr>
          <w:rStyle w:val="FootnoteReference"/>
        </w:rPr>
        <w:footnoteRef/>
      </w:r>
      <w:r>
        <w:t xml:space="preserve"> </w:t>
      </w:r>
      <w:r>
        <w:rPr>
          <w:lang w:val="en-US"/>
        </w:rPr>
        <w:t xml:space="preserve">Office of the High Commissioner for Human Rights, </w:t>
      </w:r>
      <w:r w:rsidRPr="00E4309A">
        <w:rPr>
          <w:i/>
          <w:lang w:val="en-US"/>
        </w:rPr>
        <w:t>The National Report</w:t>
      </w:r>
      <w:proofErr w:type="gramStart"/>
      <w:r>
        <w:rPr>
          <w:lang w:val="en-US"/>
        </w:rPr>
        <w:t xml:space="preserve">, </w:t>
      </w:r>
      <w:r w:rsidRPr="00E4309A">
        <w:t xml:space="preserve"> </w:t>
      </w:r>
      <w:proofErr w:type="gramEnd"/>
      <w:r w:rsidR="000F4ED8">
        <w:fldChar w:fldCharType="begin"/>
      </w:r>
      <w:r w:rsidR="000F4ED8">
        <w:instrText xml:space="preserve"> HYPERLINK "http://www.ohchr.org/EN/HRBodies/UPR/Pages/SYSession12.aspx" </w:instrText>
      </w:r>
      <w:r w:rsidR="000F4ED8">
        <w:fldChar w:fldCharType="separate"/>
      </w:r>
      <w:r w:rsidRPr="00B82434">
        <w:rPr>
          <w:rStyle w:val="Hyperlink"/>
          <w:lang w:val="en-US"/>
        </w:rPr>
        <w:t>http://www.ohchr.org/EN/HRBodies/UPR/Pages/SYSession12.aspx</w:t>
      </w:r>
      <w:r w:rsidR="000F4ED8">
        <w:rPr>
          <w:rStyle w:val="Hyperlink"/>
          <w:lang w:val="en-US"/>
        </w:rPr>
        <w:fldChar w:fldCharType="end"/>
      </w:r>
      <w:r>
        <w:rPr>
          <w:lang w:val="en-US"/>
        </w:rPr>
        <w:t xml:space="preserve"> Accessed 29 April 2016.</w:t>
      </w:r>
    </w:p>
  </w:footnote>
  <w:footnote w:id="16">
    <w:p w:rsidR="00015318" w:rsidRPr="00E4309A" w:rsidRDefault="00015318">
      <w:pPr>
        <w:pStyle w:val="FootnoteText"/>
        <w:rPr>
          <w:lang w:val="en-US"/>
        </w:rPr>
      </w:pPr>
      <w:r>
        <w:rPr>
          <w:rStyle w:val="FootnoteReference"/>
        </w:rPr>
        <w:footnoteRef/>
      </w:r>
      <w:r>
        <w:t xml:space="preserve"> </w:t>
      </w:r>
      <w:r>
        <w:rPr>
          <w:lang w:val="en-US"/>
        </w:rPr>
        <w:t xml:space="preserve">Office of the High Commissioner for Human Rights, </w:t>
      </w:r>
      <w:r w:rsidRPr="00523E1B">
        <w:rPr>
          <w:i/>
          <w:lang w:val="en-US"/>
        </w:rPr>
        <w:t>Summary of Stakeholder Information</w:t>
      </w:r>
      <w:r>
        <w:rPr>
          <w:lang w:val="en-US"/>
        </w:rPr>
        <w:t xml:space="preserve"> </w:t>
      </w:r>
      <w:hyperlink r:id="rId7" w:history="1">
        <w:r w:rsidRPr="00B82434">
          <w:rPr>
            <w:rStyle w:val="Hyperlink"/>
            <w:lang w:val="en-US"/>
          </w:rPr>
          <w:t>http://www.ohchr.org/EN/HRBodies/UPR/Pages/SYSession12.aspx</w:t>
        </w:r>
      </w:hyperlink>
      <w:r>
        <w:rPr>
          <w:lang w:val="en-US"/>
        </w:rPr>
        <w:t xml:space="preserve"> Accessed 29 April 2016</w:t>
      </w:r>
    </w:p>
  </w:footnote>
  <w:footnote w:id="17">
    <w:p w:rsidR="00015318" w:rsidRPr="00523E1B" w:rsidRDefault="00015318">
      <w:pPr>
        <w:pStyle w:val="FootnoteText"/>
        <w:rPr>
          <w:lang w:val="en-US"/>
        </w:rPr>
      </w:pPr>
      <w:r>
        <w:rPr>
          <w:rStyle w:val="FootnoteReference"/>
        </w:rPr>
        <w:footnoteRef/>
      </w:r>
      <w:r>
        <w:t xml:space="preserve"> </w:t>
      </w:r>
      <w:r>
        <w:rPr>
          <w:lang w:val="en-US"/>
        </w:rPr>
        <w:t xml:space="preserve">Office of the High Commissioner for Human Rights, Report of the Working Group </w:t>
      </w:r>
      <w:r w:rsidRPr="00E4309A">
        <w:t xml:space="preserve"> </w:t>
      </w:r>
      <w:hyperlink r:id="rId8" w:history="1">
        <w:r w:rsidRPr="00B82434">
          <w:rPr>
            <w:rStyle w:val="Hyperlink"/>
            <w:lang w:val="en-US"/>
          </w:rPr>
          <w:t>http://www.ohchr.org/EN/HRBodies/UPR/Pages/SYSession12.aspx</w:t>
        </w:r>
      </w:hyperlink>
      <w:r>
        <w:rPr>
          <w:lang w:val="en-US"/>
        </w:rPr>
        <w:t xml:space="preserve"> Accessed 29 April 2016</w:t>
      </w:r>
    </w:p>
  </w:footnote>
  <w:footnote w:id="18">
    <w:p w:rsidR="00015318" w:rsidRPr="009D5E64" w:rsidRDefault="00015318">
      <w:pPr>
        <w:pStyle w:val="FootnoteText"/>
        <w:rPr>
          <w:lang w:val="en-US"/>
        </w:rPr>
      </w:pPr>
      <w:r>
        <w:rPr>
          <w:rStyle w:val="FootnoteReference"/>
        </w:rPr>
        <w:footnoteRef/>
      </w:r>
      <w:r>
        <w:t xml:space="preserve"> </w:t>
      </w:r>
      <w:r w:rsidRPr="009D5E64">
        <w:rPr>
          <w:lang w:val="en-US"/>
        </w:rPr>
        <w:t>UN Committee on Economic, Social and Cultural Rights (CESCR), </w:t>
      </w:r>
      <w:r w:rsidRPr="009D5E64">
        <w:rPr>
          <w:i/>
          <w:iCs/>
          <w:lang w:val="en-US"/>
        </w:rPr>
        <w:t>UN Committee on Economic, Social and Cultural Rights: Concluding observations: Syrian Arab Republic</w:t>
      </w:r>
      <w:r w:rsidRPr="009D5E64">
        <w:rPr>
          <w:lang w:val="en-US"/>
        </w:rPr>
        <w:t>, 24 September 2001, E/C.12/1/Add.63, available at: http://www.refworld.org/docid/3cc7ff45</w:t>
      </w:r>
      <w:r>
        <w:rPr>
          <w:lang w:val="en-US"/>
        </w:rPr>
        <w:t>4.html [accessed 29 April 2016]</w:t>
      </w:r>
    </w:p>
  </w:footnote>
  <w:footnote w:id="19">
    <w:p w:rsidR="00015318" w:rsidRPr="00523E1B" w:rsidRDefault="00015318">
      <w:pPr>
        <w:pStyle w:val="FootnoteText"/>
        <w:rPr>
          <w:lang w:val="en-US"/>
        </w:rPr>
      </w:pPr>
      <w:r>
        <w:rPr>
          <w:rStyle w:val="FootnoteReference"/>
        </w:rPr>
        <w:footnoteRef/>
      </w:r>
      <w:r>
        <w:t xml:space="preserve"> </w:t>
      </w:r>
      <w:r>
        <w:rPr>
          <w:lang w:val="en-US"/>
        </w:rPr>
        <w:t xml:space="preserve">United Nations Development Group, </w:t>
      </w:r>
      <w:r w:rsidRPr="00523E1B">
        <w:rPr>
          <w:i/>
          <w:lang w:val="en-US"/>
        </w:rPr>
        <w:t>United Nations Country Team</w:t>
      </w:r>
      <w:r>
        <w:rPr>
          <w:lang w:val="en-US"/>
        </w:rPr>
        <w:t xml:space="preserve">, </w:t>
      </w:r>
      <w:r w:rsidRPr="00523E1B">
        <w:rPr>
          <w:lang w:val="en-US"/>
        </w:rPr>
        <w:t>https://undg.org/home/country-teams/arab-states/syrian-arab-republic/</w:t>
      </w:r>
    </w:p>
  </w:footnote>
  <w:footnote w:id="20">
    <w:p w:rsidR="00015318" w:rsidRPr="00A57E06" w:rsidRDefault="00015318" w:rsidP="00551D18">
      <w:pPr>
        <w:pStyle w:val="FootnoteText"/>
        <w:rPr>
          <w:lang w:val="en-US"/>
        </w:rPr>
      </w:pPr>
      <w:r>
        <w:rPr>
          <w:rStyle w:val="FootnoteReference"/>
        </w:rPr>
        <w:footnoteRef/>
      </w:r>
      <w:r>
        <w:t xml:space="preserve"> </w:t>
      </w:r>
      <w:r>
        <w:rPr>
          <w:lang w:val="en-US"/>
        </w:rPr>
        <w:t>United Nations Development Assistance Framework, Syrian Arab Republic, 2007-2011, &lt;</w:t>
      </w:r>
      <w:r w:rsidRPr="00A57E06">
        <w:t xml:space="preserve"> </w:t>
      </w:r>
      <w:hyperlink r:id="rId9" w:history="1">
        <w:r w:rsidRPr="00B82434">
          <w:rPr>
            <w:rStyle w:val="Hyperlink"/>
            <w:lang w:val="en-US"/>
          </w:rPr>
          <w:t>https://undg.org/home/country-teams/arab-states/syrian-arab-republic/</w:t>
        </w:r>
      </w:hyperlink>
      <w:r>
        <w:rPr>
          <w:lang w:val="en-US"/>
        </w:rPr>
        <w:t>&gt; Accessed 29 April 2016</w:t>
      </w:r>
    </w:p>
  </w:footnote>
  <w:footnote w:id="21">
    <w:p w:rsidR="00015318" w:rsidRPr="00862D18" w:rsidRDefault="00015318">
      <w:pPr>
        <w:pStyle w:val="FootnoteText"/>
        <w:rPr>
          <w:lang w:val="en-US"/>
        </w:rPr>
      </w:pPr>
      <w:r>
        <w:rPr>
          <w:rStyle w:val="FootnoteReference"/>
        </w:rPr>
        <w:footnoteRef/>
      </w:r>
      <w:r>
        <w:t xml:space="preserve"> </w:t>
      </w:r>
      <w:r>
        <w:rPr>
          <w:lang w:val="en-US"/>
        </w:rPr>
        <w:t>UN-Habitat Syria, &lt;</w:t>
      </w:r>
      <w:r w:rsidRPr="00862D18">
        <w:t xml:space="preserve"> </w:t>
      </w:r>
      <w:hyperlink r:id="rId10" w:history="1">
        <w:r w:rsidRPr="00B82434">
          <w:rPr>
            <w:rStyle w:val="Hyperlink"/>
            <w:lang w:val="en-US"/>
          </w:rPr>
          <w:t>http://unhabitat.org/syria/</w:t>
        </w:r>
      </w:hyperlink>
      <w:r>
        <w:rPr>
          <w:lang w:val="en-US"/>
        </w:rPr>
        <w:t>&gt; Accessed 29 April 2016</w:t>
      </w:r>
    </w:p>
  </w:footnote>
  <w:footnote w:id="22">
    <w:p w:rsidR="00015318" w:rsidRPr="00AF6B72" w:rsidRDefault="00015318">
      <w:pPr>
        <w:pStyle w:val="FootnoteText"/>
        <w:rPr>
          <w:lang w:val="en-US"/>
        </w:rPr>
      </w:pPr>
      <w:r>
        <w:rPr>
          <w:rStyle w:val="FootnoteReference"/>
        </w:rPr>
        <w:footnoteRef/>
      </w:r>
      <w:r>
        <w:t xml:space="preserve"> </w:t>
      </w:r>
      <w:proofErr w:type="gramStart"/>
      <w:r>
        <w:rPr>
          <w:lang w:val="en-US"/>
        </w:rPr>
        <w:t xml:space="preserve">UN-Habitat, </w:t>
      </w:r>
      <w:r w:rsidRPr="00AF6B72">
        <w:rPr>
          <w:i/>
          <w:lang w:val="en-US"/>
        </w:rPr>
        <w:t>Syria Crisis Response 2014,</w:t>
      </w:r>
      <w:r>
        <w:rPr>
          <w:lang w:val="en-US"/>
        </w:rPr>
        <w:t xml:space="preserve"> &lt;</w:t>
      </w:r>
      <w:r>
        <w:rPr>
          <w:rFonts w:ascii="Times" w:eastAsia="Times New Roman" w:hAnsi="Times" w:cs="Times New Roman"/>
          <w:lang w:val="en-US"/>
        </w:rPr>
        <w:t>h</w:t>
      </w:r>
      <w:hyperlink r:id="rId11" w:history="1">
        <w:r w:rsidRPr="00AF6B72">
          <w:rPr>
            <w:rStyle w:val="Hyperlink"/>
            <w:lang w:val="en-US"/>
          </w:rPr>
          <w:t>ttp://mirror.unhabitat.org/pmss/getElectronicVersion.aspx?nr=3546&amp;alt=1</w:t>
        </w:r>
      </w:hyperlink>
      <w:r w:rsidRPr="00AF6B72">
        <w:rPr>
          <w:lang w:val="en-US"/>
        </w:rPr>
        <w:t>.</w:t>
      </w:r>
      <w:r>
        <w:rPr>
          <w:lang w:val="en-US"/>
        </w:rPr>
        <w:t>&gt; Accessed 29 April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015318" w:rsidRDefault="00015318">
        <w:pPr>
          <w:pStyle w:val="Header"/>
          <w:jc w:val="center"/>
        </w:pPr>
        <w:r>
          <w:rPr>
            <w:noProof/>
            <w:lang w:val="en-US"/>
          </w:rPr>
          <w:drawing>
            <wp:anchor distT="0" distB="0" distL="114300" distR="114300" simplePos="0" relativeHeight="251660288" behindDoc="1" locked="0" layoutInCell="1" allowOverlap="1" wp14:anchorId="2CDBEFD9" wp14:editId="0C8D344C">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anchor>
          </w:drawing>
        </w:r>
      </w:p>
      <w:p w:rsidR="00015318" w:rsidRPr="007C4F87" w:rsidRDefault="00015318">
        <w:pPr>
          <w:pStyle w:val="Header"/>
          <w:jc w:val="center"/>
          <w:rPr>
            <w:b/>
            <w:color w:val="FFFFFF" w:themeColor="background1"/>
          </w:rPr>
        </w:pPr>
      </w:p>
      <w:p w:rsidR="00015318" w:rsidRPr="007C4F87" w:rsidRDefault="00015318" w:rsidP="007C4F87">
        <w:pPr>
          <w:jc w:val="center"/>
          <w:rPr>
            <w:b/>
            <w:color w:val="FFFFFF" w:themeColor="background1"/>
          </w:rPr>
        </w:pPr>
        <w:r>
          <w:rPr>
            <w:b/>
            <w:color w:val="FFFFFF" w:themeColor="background1"/>
          </w:rPr>
          <w:t>Human Rights and housing Rights Briefs</w:t>
        </w:r>
        <w:r w:rsidRPr="007C4F87">
          <w:rPr>
            <w:b/>
            <w:color w:val="FFFFFF" w:themeColor="background1"/>
          </w:rPr>
          <w:br/>
        </w:r>
        <w:r w:rsidRPr="007C4F87">
          <w:rPr>
            <w:b/>
            <w:color w:val="FFFFFF" w:themeColor="background1"/>
          </w:rPr>
          <w:fldChar w:fldCharType="begin"/>
        </w:r>
        <w:r w:rsidRPr="007C4F87">
          <w:rPr>
            <w:b/>
            <w:color w:val="FFFFFF" w:themeColor="background1"/>
          </w:rPr>
          <w:instrText xml:space="preserve"> PAGE   \* MERGEFORMAT </w:instrText>
        </w:r>
        <w:r w:rsidRPr="007C4F87">
          <w:rPr>
            <w:b/>
            <w:color w:val="FFFFFF" w:themeColor="background1"/>
          </w:rPr>
          <w:fldChar w:fldCharType="separate"/>
        </w:r>
        <w:r w:rsidR="008166E6">
          <w:rPr>
            <w:b/>
            <w:noProof/>
            <w:color w:val="FFFFFF" w:themeColor="background1"/>
          </w:rPr>
          <w:t>11</w:t>
        </w:r>
        <w:r w:rsidRPr="007C4F87">
          <w:rPr>
            <w:b/>
            <w:noProof/>
            <w:color w:val="FFFFFF" w:themeColor="background1"/>
          </w:rPr>
          <w:fldChar w:fldCharType="end"/>
        </w:r>
      </w:p>
    </w:sdtContent>
  </w:sdt>
  <w:p w:rsidR="00015318" w:rsidRDefault="00015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786"/>
    <w:multiLevelType w:val="multilevel"/>
    <w:tmpl w:val="E51E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A6E67"/>
    <w:multiLevelType w:val="hybridMultilevel"/>
    <w:tmpl w:val="2600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81DBF"/>
    <w:multiLevelType w:val="multilevel"/>
    <w:tmpl w:val="DA3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747AF"/>
    <w:multiLevelType w:val="hybridMultilevel"/>
    <w:tmpl w:val="870082E2"/>
    <w:lvl w:ilvl="0" w:tplc="D78A5684">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C19A8"/>
    <w:multiLevelType w:val="multilevel"/>
    <w:tmpl w:val="E91A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613EC"/>
    <w:multiLevelType w:val="hybridMultilevel"/>
    <w:tmpl w:val="05D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A775BE"/>
    <w:multiLevelType w:val="hybridMultilevel"/>
    <w:tmpl w:val="2CECBB56"/>
    <w:lvl w:ilvl="0" w:tplc="BC92B9B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DC86C6B"/>
    <w:multiLevelType w:val="hybridMultilevel"/>
    <w:tmpl w:val="2B00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D6E00"/>
    <w:multiLevelType w:val="hybridMultilevel"/>
    <w:tmpl w:val="217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B588D"/>
    <w:multiLevelType w:val="hybridMultilevel"/>
    <w:tmpl w:val="D2F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A91F42"/>
    <w:multiLevelType w:val="hybridMultilevel"/>
    <w:tmpl w:val="FB547AF6"/>
    <w:lvl w:ilvl="0" w:tplc="B794436C">
      <w:start w:val="1"/>
      <w:numFmt w:val="decimal"/>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3291F"/>
    <w:multiLevelType w:val="hybridMultilevel"/>
    <w:tmpl w:val="35CAE75A"/>
    <w:lvl w:ilvl="0" w:tplc="0CF8E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72962"/>
    <w:multiLevelType w:val="multilevel"/>
    <w:tmpl w:val="B18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C639A9"/>
    <w:multiLevelType w:val="hybridMultilevel"/>
    <w:tmpl w:val="1C8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D65648"/>
    <w:multiLevelType w:val="multilevel"/>
    <w:tmpl w:val="AF8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4912AF"/>
    <w:multiLevelType w:val="hybridMultilevel"/>
    <w:tmpl w:val="FA4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A6587"/>
    <w:multiLevelType w:val="hybridMultilevel"/>
    <w:tmpl w:val="7B2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8F73D1"/>
    <w:multiLevelType w:val="hybridMultilevel"/>
    <w:tmpl w:val="E5C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EE6D6E"/>
    <w:multiLevelType w:val="multilevel"/>
    <w:tmpl w:val="C78C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60446"/>
    <w:multiLevelType w:val="hybridMultilevel"/>
    <w:tmpl w:val="58E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E4F91"/>
    <w:multiLevelType w:val="hybridMultilevel"/>
    <w:tmpl w:val="7C6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F0781"/>
    <w:multiLevelType w:val="multilevel"/>
    <w:tmpl w:val="389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7"/>
  </w:num>
  <w:num w:numId="3">
    <w:abstractNumId w:val="18"/>
  </w:num>
  <w:num w:numId="4">
    <w:abstractNumId w:val="19"/>
  </w:num>
  <w:num w:numId="5">
    <w:abstractNumId w:val="23"/>
  </w:num>
  <w:num w:numId="6">
    <w:abstractNumId w:val="3"/>
  </w:num>
  <w:num w:numId="7">
    <w:abstractNumId w:val="24"/>
  </w:num>
  <w:num w:numId="8">
    <w:abstractNumId w:val="8"/>
  </w:num>
  <w:num w:numId="9">
    <w:abstractNumId w:val="13"/>
  </w:num>
  <w:num w:numId="10">
    <w:abstractNumId w:val="16"/>
  </w:num>
  <w:num w:numId="11">
    <w:abstractNumId w:val="2"/>
  </w:num>
  <w:num w:numId="12">
    <w:abstractNumId w:val="1"/>
  </w:num>
  <w:num w:numId="13">
    <w:abstractNumId w:val="17"/>
  </w:num>
  <w:num w:numId="14">
    <w:abstractNumId w:val="9"/>
  </w:num>
  <w:num w:numId="15">
    <w:abstractNumId w:val="15"/>
  </w:num>
  <w:num w:numId="16">
    <w:abstractNumId w:val="4"/>
  </w:num>
  <w:num w:numId="17">
    <w:abstractNumId w:val="14"/>
  </w:num>
  <w:num w:numId="18">
    <w:abstractNumId w:val="12"/>
  </w:num>
  <w:num w:numId="19">
    <w:abstractNumId w:val="26"/>
  </w:num>
  <w:num w:numId="20">
    <w:abstractNumId w:val="28"/>
  </w:num>
  <w:num w:numId="21">
    <w:abstractNumId w:val="22"/>
  </w:num>
  <w:num w:numId="22">
    <w:abstractNumId w:val="6"/>
  </w:num>
  <w:num w:numId="23">
    <w:abstractNumId w:val="20"/>
  </w:num>
  <w:num w:numId="24">
    <w:abstractNumId w:val="30"/>
  </w:num>
  <w:num w:numId="25">
    <w:abstractNumId w:val="11"/>
  </w:num>
  <w:num w:numId="26">
    <w:abstractNumId w:val="21"/>
  </w:num>
  <w:num w:numId="27">
    <w:abstractNumId w:val="27"/>
  </w:num>
  <w:num w:numId="28">
    <w:abstractNumId w:val="5"/>
  </w:num>
  <w:num w:numId="29">
    <w:abstractNumId w:val="0"/>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04B53"/>
    <w:rsid w:val="000115F0"/>
    <w:rsid w:val="00015318"/>
    <w:rsid w:val="000170E7"/>
    <w:rsid w:val="00025945"/>
    <w:rsid w:val="000338C1"/>
    <w:rsid w:val="00046EAE"/>
    <w:rsid w:val="00053462"/>
    <w:rsid w:val="00064D89"/>
    <w:rsid w:val="00065DBA"/>
    <w:rsid w:val="000663B9"/>
    <w:rsid w:val="000743B7"/>
    <w:rsid w:val="000A7066"/>
    <w:rsid w:val="000B0FFB"/>
    <w:rsid w:val="000B20C8"/>
    <w:rsid w:val="000B5A30"/>
    <w:rsid w:val="000E07CD"/>
    <w:rsid w:val="000E55F9"/>
    <w:rsid w:val="000F4ED8"/>
    <w:rsid w:val="001158E4"/>
    <w:rsid w:val="0013576E"/>
    <w:rsid w:val="00151F13"/>
    <w:rsid w:val="001526B0"/>
    <w:rsid w:val="0018678B"/>
    <w:rsid w:val="00194F8B"/>
    <w:rsid w:val="001B7B83"/>
    <w:rsid w:val="001D33D4"/>
    <w:rsid w:val="001E2277"/>
    <w:rsid w:val="001F4004"/>
    <w:rsid w:val="001F7286"/>
    <w:rsid w:val="00223626"/>
    <w:rsid w:val="0022488C"/>
    <w:rsid w:val="002250DD"/>
    <w:rsid w:val="0022574C"/>
    <w:rsid w:val="002356E2"/>
    <w:rsid w:val="00236713"/>
    <w:rsid w:val="002464B7"/>
    <w:rsid w:val="00246E99"/>
    <w:rsid w:val="00246FEC"/>
    <w:rsid w:val="00296801"/>
    <w:rsid w:val="002C1463"/>
    <w:rsid w:val="002D1F09"/>
    <w:rsid w:val="002D583F"/>
    <w:rsid w:val="002D66D4"/>
    <w:rsid w:val="002E7D99"/>
    <w:rsid w:val="002F5242"/>
    <w:rsid w:val="00313087"/>
    <w:rsid w:val="00324C41"/>
    <w:rsid w:val="0033417F"/>
    <w:rsid w:val="00341378"/>
    <w:rsid w:val="0037357F"/>
    <w:rsid w:val="00376665"/>
    <w:rsid w:val="00397134"/>
    <w:rsid w:val="003A459C"/>
    <w:rsid w:val="003B1741"/>
    <w:rsid w:val="003C6190"/>
    <w:rsid w:val="003C61A0"/>
    <w:rsid w:val="003D7917"/>
    <w:rsid w:val="003E49EB"/>
    <w:rsid w:val="003F585D"/>
    <w:rsid w:val="00403AE2"/>
    <w:rsid w:val="00404013"/>
    <w:rsid w:val="00437199"/>
    <w:rsid w:val="00443BF8"/>
    <w:rsid w:val="004462E9"/>
    <w:rsid w:val="00466809"/>
    <w:rsid w:val="00480F96"/>
    <w:rsid w:val="0048331C"/>
    <w:rsid w:val="004B0CB8"/>
    <w:rsid w:val="004C4FDD"/>
    <w:rsid w:val="004E1819"/>
    <w:rsid w:val="004E39AE"/>
    <w:rsid w:val="004F177A"/>
    <w:rsid w:val="004F2511"/>
    <w:rsid w:val="00503531"/>
    <w:rsid w:val="00503880"/>
    <w:rsid w:val="00510A7D"/>
    <w:rsid w:val="00520930"/>
    <w:rsid w:val="00523E1B"/>
    <w:rsid w:val="00540545"/>
    <w:rsid w:val="00551D18"/>
    <w:rsid w:val="005742B8"/>
    <w:rsid w:val="005800DF"/>
    <w:rsid w:val="005A1868"/>
    <w:rsid w:val="005B2B82"/>
    <w:rsid w:val="005B708E"/>
    <w:rsid w:val="005C5082"/>
    <w:rsid w:val="005E5A86"/>
    <w:rsid w:val="005E66A9"/>
    <w:rsid w:val="005F6E9E"/>
    <w:rsid w:val="006028BC"/>
    <w:rsid w:val="006047A4"/>
    <w:rsid w:val="0061088A"/>
    <w:rsid w:val="0062336C"/>
    <w:rsid w:val="0063066F"/>
    <w:rsid w:val="006356EB"/>
    <w:rsid w:val="00653A4A"/>
    <w:rsid w:val="00693917"/>
    <w:rsid w:val="00697C43"/>
    <w:rsid w:val="006A261E"/>
    <w:rsid w:val="006A7177"/>
    <w:rsid w:val="006F1143"/>
    <w:rsid w:val="006F2083"/>
    <w:rsid w:val="006F6204"/>
    <w:rsid w:val="006F7D8D"/>
    <w:rsid w:val="00703ACF"/>
    <w:rsid w:val="00707A15"/>
    <w:rsid w:val="007400BF"/>
    <w:rsid w:val="007464A5"/>
    <w:rsid w:val="00755487"/>
    <w:rsid w:val="0079084C"/>
    <w:rsid w:val="007B584C"/>
    <w:rsid w:val="007C4F87"/>
    <w:rsid w:val="007F3090"/>
    <w:rsid w:val="007F6256"/>
    <w:rsid w:val="0080312B"/>
    <w:rsid w:val="008041EF"/>
    <w:rsid w:val="00811F82"/>
    <w:rsid w:val="008166E6"/>
    <w:rsid w:val="00825851"/>
    <w:rsid w:val="0083098C"/>
    <w:rsid w:val="00852DA4"/>
    <w:rsid w:val="00856496"/>
    <w:rsid w:val="00860FA2"/>
    <w:rsid w:val="008612E7"/>
    <w:rsid w:val="00862D18"/>
    <w:rsid w:val="00872861"/>
    <w:rsid w:val="008A1F18"/>
    <w:rsid w:val="008B5EA4"/>
    <w:rsid w:val="008D5950"/>
    <w:rsid w:val="008E1742"/>
    <w:rsid w:val="008E35A6"/>
    <w:rsid w:val="008E5F2A"/>
    <w:rsid w:val="00902DA4"/>
    <w:rsid w:val="00912A34"/>
    <w:rsid w:val="009175C9"/>
    <w:rsid w:val="009438B7"/>
    <w:rsid w:val="0095655B"/>
    <w:rsid w:val="009625C1"/>
    <w:rsid w:val="009638EA"/>
    <w:rsid w:val="00973858"/>
    <w:rsid w:val="00984875"/>
    <w:rsid w:val="00985CD2"/>
    <w:rsid w:val="00986A6C"/>
    <w:rsid w:val="00986B42"/>
    <w:rsid w:val="00986B6F"/>
    <w:rsid w:val="009A51FA"/>
    <w:rsid w:val="009B011B"/>
    <w:rsid w:val="009B092E"/>
    <w:rsid w:val="009B6C46"/>
    <w:rsid w:val="009D3B74"/>
    <w:rsid w:val="009D5E64"/>
    <w:rsid w:val="009E049D"/>
    <w:rsid w:val="009F2358"/>
    <w:rsid w:val="009F7AFA"/>
    <w:rsid w:val="00A23B6C"/>
    <w:rsid w:val="00A50E19"/>
    <w:rsid w:val="00A57E06"/>
    <w:rsid w:val="00A80161"/>
    <w:rsid w:val="00AC28CF"/>
    <w:rsid w:val="00AC638F"/>
    <w:rsid w:val="00AD0187"/>
    <w:rsid w:val="00AE01C9"/>
    <w:rsid w:val="00AE3815"/>
    <w:rsid w:val="00AF6B72"/>
    <w:rsid w:val="00B12D85"/>
    <w:rsid w:val="00B1561D"/>
    <w:rsid w:val="00B17B0A"/>
    <w:rsid w:val="00B255AC"/>
    <w:rsid w:val="00B27FC6"/>
    <w:rsid w:val="00B33886"/>
    <w:rsid w:val="00B41107"/>
    <w:rsid w:val="00B4476E"/>
    <w:rsid w:val="00B70C4E"/>
    <w:rsid w:val="00B81065"/>
    <w:rsid w:val="00B85124"/>
    <w:rsid w:val="00B915D8"/>
    <w:rsid w:val="00BA160E"/>
    <w:rsid w:val="00BA1B8B"/>
    <w:rsid w:val="00BB47EC"/>
    <w:rsid w:val="00BC7B86"/>
    <w:rsid w:val="00BD345A"/>
    <w:rsid w:val="00BD37A6"/>
    <w:rsid w:val="00BF207E"/>
    <w:rsid w:val="00C07BB6"/>
    <w:rsid w:val="00C402C6"/>
    <w:rsid w:val="00C678AD"/>
    <w:rsid w:val="00CB166D"/>
    <w:rsid w:val="00CB2BA6"/>
    <w:rsid w:val="00CC2C56"/>
    <w:rsid w:val="00CC30D1"/>
    <w:rsid w:val="00CD28D4"/>
    <w:rsid w:val="00CE3053"/>
    <w:rsid w:val="00CE78A6"/>
    <w:rsid w:val="00CF4A1F"/>
    <w:rsid w:val="00CF7BAD"/>
    <w:rsid w:val="00D062AD"/>
    <w:rsid w:val="00D06DA4"/>
    <w:rsid w:val="00D15FF0"/>
    <w:rsid w:val="00D7550D"/>
    <w:rsid w:val="00D76EF0"/>
    <w:rsid w:val="00D947DA"/>
    <w:rsid w:val="00D97A00"/>
    <w:rsid w:val="00DA35A9"/>
    <w:rsid w:val="00DD0DCD"/>
    <w:rsid w:val="00DD73FD"/>
    <w:rsid w:val="00DF08DF"/>
    <w:rsid w:val="00E32CD5"/>
    <w:rsid w:val="00E4309A"/>
    <w:rsid w:val="00E47699"/>
    <w:rsid w:val="00E50ABF"/>
    <w:rsid w:val="00E60CE7"/>
    <w:rsid w:val="00E70BF1"/>
    <w:rsid w:val="00E76B62"/>
    <w:rsid w:val="00E80626"/>
    <w:rsid w:val="00E93A9D"/>
    <w:rsid w:val="00E95B34"/>
    <w:rsid w:val="00E96CB2"/>
    <w:rsid w:val="00EA3302"/>
    <w:rsid w:val="00EA4EBB"/>
    <w:rsid w:val="00EA5D77"/>
    <w:rsid w:val="00EA7D02"/>
    <w:rsid w:val="00ED6E42"/>
    <w:rsid w:val="00EE311F"/>
    <w:rsid w:val="00EE7443"/>
    <w:rsid w:val="00F30F93"/>
    <w:rsid w:val="00F426A8"/>
    <w:rsid w:val="00F4352B"/>
    <w:rsid w:val="00F43B09"/>
    <w:rsid w:val="00F56B24"/>
    <w:rsid w:val="00F705CE"/>
    <w:rsid w:val="00F750C2"/>
    <w:rsid w:val="00F77526"/>
    <w:rsid w:val="00FA33D7"/>
    <w:rsid w:val="00FB2932"/>
    <w:rsid w:val="00FB3104"/>
    <w:rsid w:val="00FB4DBA"/>
    <w:rsid w:val="00FB7E00"/>
    <w:rsid w:val="00FE1192"/>
    <w:rsid w:val="00FF35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D7"/>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LightShading1">
    <w:name w:val="Light Shading1"/>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rsid w:val="00BF207E"/>
    <w:rPr>
      <w:sz w:val="20"/>
      <w:szCs w:val="20"/>
    </w:rPr>
  </w:style>
  <w:style w:type="character" w:styleId="FootnoteReference">
    <w:name w:val="footnote reference"/>
    <w:basedOn w:val="DefaultParagraphFont"/>
    <w:uiPriority w:val="99"/>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paragraph" w:customStyle="1" w:styleId="Default">
    <w:name w:val="Default"/>
    <w:rsid w:val="00E96CB2"/>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LightShading">
    <w:name w:val="Light Shading"/>
    <w:basedOn w:val="TableNormal"/>
    <w:uiPriority w:val="60"/>
    <w:rsid w:val="00F750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aliases w:val="1_G"/>
    <w:basedOn w:val="FootnoteReference"/>
    <w:rsid w:val="00151F13"/>
    <w:rPr>
      <w:rFonts w:ascii="Times New Roman" w:hAnsi="Times New Roman"/>
      <w:sz w:val="18"/>
      <w:vertAlign w:val="superscript"/>
    </w:rPr>
  </w:style>
  <w:style w:type="paragraph" w:styleId="EndnoteText">
    <w:name w:val="endnote text"/>
    <w:aliases w:val="2_G"/>
    <w:basedOn w:val="FootnoteText"/>
    <w:link w:val="EndnoteTextChar"/>
    <w:rsid w:val="00151F13"/>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151F13"/>
    <w:rPr>
      <w:rFonts w:ascii="Times New Roman" w:eastAsia="Times New Roman" w:hAnsi="Times New Roman" w:cs="Times New Roman"/>
      <w:sz w:val="18"/>
      <w:szCs w:val="20"/>
      <w:lang w:val="en-GB"/>
    </w:rPr>
  </w:style>
  <w:style w:type="character" w:styleId="PageNumber">
    <w:name w:val="page number"/>
    <w:basedOn w:val="DefaultParagraphFont"/>
    <w:uiPriority w:val="99"/>
    <w:semiHidden/>
    <w:unhideWhenUsed/>
    <w:rsid w:val="00523E1B"/>
  </w:style>
  <w:style w:type="paragraph" w:styleId="NoSpacing">
    <w:name w:val="No Spacing"/>
    <w:uiPriority w:val="1"/>
    <w:qFormat/>
    <w:rsid w:val="009638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D7"/>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LightShading1">
    <w:name w:val="Light Shading1"/>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rsid w:val="00BF207E"/>
    <w:rPr>
      <w:sz w:val="20"/>
      <w:szCs w:val="20"/>
    </w:rPr>
  </w:style>
  <w:style w:type="character" w:styleId="FootnoteReference">
    <w:name w:val="footnote reference"/>
    <w:basedOn w:val="DefaultParagraphFont"/>
    <w:uiPriority w:val="99"/>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paragraph" w:customStyle="1" w:styleId="Default">
    <w:name w:val="Default"/>
    <w:rsid w:val="00E96CB2"/>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LightShading">
    <w:name w:val="Light Shading"/>
    <w:basedOn w:val="TableNormal"/>
    <w:uiPriority w:val="60"/>
    <w:rsid w:val="00F750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aliases w:val="1_G"/>
    <w:basedOn w:val="FootnoteReference"/>
    <w:rsid w:val="00151F13"/>
    <w:rPr>
      <w:rFonts w:ascii="Times New Roman" w:hAnsi="Times New Roman"/>
      <w:sz w:val="18"/>
      <w:vertAlign w:val="superscript"/>
    </w:rPr>
  </w:style>
  <w:style w:type="paragraph" w:styleId="EndnoteText">
    <w:name w:val="endnote text"/>
    <w:aliases w:val="2_G"/>
    <w:basedOn w:val="FootnoteText"/>
    <w:link w:val="EndnoteTextChar"/>
    <w:rsid w:val="00151F13"/>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151F13"/>
    <w:rPr>
      <w:rFonts w:ascii="Times New Roman" w:eastAsia="Times New Roman" w:hAnsi="Times New Roman" w:cs="Times New Roman"/>
      <w:sz w:val="18"/>
      <w:szCs w:val="20"/>
      <w:lang w:val="en-GB"/>
    </w:rPr>
  </w:style>
  <w:style w:type="character" w:styleId="PageNumber">
    <w:name w:val="page number"/>
    <w:basedOn w:val="DefaultParagraphFont"/>
    <w:uiPriority w:val="99"/>
    <w:semiHidden/>
    <w:unhideWhenUsed/>
    <w:rsid w:val="00523E1B"/>
  </w:style>
  <w:style w:type="paragraph" w:styleId="NoSpacing">
    <w:name w:val="No Spacing"/>
    <w:uiPriority w:val="1"/>
    <w:qFormat/>
    <w:rsid w:val="00963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023">
      <w:bodyDiv w:val="1"/>
      <w:marLeft w:val="0"/>
      <w:marRight w:val="0"/>
      <w:marTop w:val="0"/>
      <w:marBottom w:val="0"/>
      <w:divBdr>
        <w:top w:val="none" w:sz="0" w:space="0" w:color="auto"/>
        <w:left w:val="none" w:sz="0" w:space="0" w:color="auto"/>
        <w:bottom w:val="none" w:sz="0" w:space="0" w:color="auto"/>
        <w:right w:val="none" w:sz="0" w:space="0" w:color="auto"/>
      </w:divBdr>
    </w:div>
    <w:div w:id="13464751">
      <w:bodyDiv w:val="1"/>
      <w:marLeft w:val="0"/>
      <w:marRight w:val="0"/>
      <w:marTop w:val="0"/>
      <w:marBottom w:val="0"/>
      <w:divBdr>
        <w:top w:val="none" w:sz="0" w:space="0" w:color="auto"/>
        <w:left w:val="none" w:sz="0" w:space="0" w:color="auto"/>
        <w:bottom w:val="none" w:sz="0" w:space="0" w:color="auto"/>
        <w:right w:val="none" w:sz="0" w:space="0" w:color="auto"/>
      </w:divBdr>
    </w:div>
    <w:div w:id="69734396">
      <w:bodyDiv w:val="1"/>
      <w:marLeft w:val="0"/>
      <w:marRight w:val="0"/>
      <w:marTop w:val="0"/>
      <w:marBottom w:val="0"/>
      <w:divBdr>
        <w:top w:val="none" w:sz="0" w:space="0" w:color="auto"/>
        <w:left w:val="none" w:sz="0" w:space="0" w:color="auto"/>
        <w:bottom w:val="none" w:sz="0" w:space="0" w:color="auto"/>
        <w:right w:val="none" w:sz="0" w:space="0" w:color="auto"/>
      </w:divBdr>
    </w:div>
    <w:div w:id="118378479">
      <w:bodyDiv w:val="1"/>
      <w:marLeft w:val="0"/>
      <w:marRight w:val="0"/>
      <w:marTop w:val="0"/>
      <w:marBottom w:val="0"/>
      <w:divBdr>
        <w:top w:val="none" w:sz="0" w:space="0" w:color="auto"/>
        <w:left w:val="none" w:sz="0" w:space="0" w:color="auto"/>
        <w:bottom w:val="none" w:sz="0" w:space="0" w:color="auto"/>
        <w:right w:val="none" w:sz="0" w:space="0" w:color="auto"/>
      </w:divBdr>
    </w:div>
    <w:div w:id="129203996">
      <w:bodyDiv w:val="1"/>
      <w:marLeft w:val="0"/>
      <w:marRight w:val="0"/>
      <w:marTop w:val="0"/>
      <w:marBottom w:val="0"/>
      <w:divBdr>
        <w:top w:val="none" w:sz="0" w:space="0" w:color="auto"/>
        <w:left w:val="none" w:sz="0" w:space="0" w:color="auto"/>
        <w:bottom w:val="none" w:sz="0" w:space="0" w:color="auto"/>
        <w:right w:val="none" w:sz="0" w:space="0" w:color="auto"/>
      </w:divBdr>
    </w:div>
    <w:div w:id="172190214">
      <w:bodyDiv w:val="1"/>
      <w:marLeft w:val="0"/>
      <w:marRight w:val="0"/>
      <w:marTop w:val="0"/>
      <w:marBottom w:val="0"/>
      <w:divBdr>
        <w:top w:val="none" w:sz="0" w:space="0" w:color="auto"/>
        <w:left w:val="none" w:sz="0" w:space="0" w:color="auto"/>
        <w:bottom w:val="none" w:sz="0" w:space="0" w:color="auto"/>
        <w:right w:val="none" w:sz="0" w:space="0" w:color="auto"/>
      </w:divBdr>
    </w:div>
    <w:div w:id="179860377">
      <w:bodyDiv w:val="1"/>
      <w:marLeft w:val="0"/>
      <w:marRight w:val="0"/>
      <w:marTop w:val="0"/>
      <w:marBottom w:val="0"/>
      <w:divBdr>
        <w:top w:val="none" w:sz="0" w:space="0" w:color="auto"/>
        <w:left w:val="none" w:sz="0" w:space="0" w:color="auto"/>
        <w:bottom w:val="none" w:sz="0" w:space="0" w:color="auto"/>
        <w:right w:val="none" w:sz="0" w:space="0" w:color="auto"/>
      </w:divBdr>
    </w:div>
    <w:div w:id="219371170">
      <w:bodyDiv w:val="1"/>
      <w:marLeft w:val="0"/>
      <w:marRight w:val="0"/>
      <w:marTop w:val="0"/>
      <w:marBottom w:val="0"/>
      <w:divBdr>
        <w:top w:val="none" w:sz="0" w:space="0" w:color="auto"/>
        <w:left w:val="none" w:sz="0" w:space="0" w:color="auto"/>
        <w:bottom w:val="none" w:sz="0" w:space="0" w:color="auto"/>
        <w:right w:val="none" w:sz="0" w:space="0" w:color="auto"/>
      </w:divBdr>
    </w:div>
    <w:div w:id="233206844">
      <w:bodyDiv w:val="1"/>
      <w:marLeft w:val="0"/>
      <w:marRight w:val="0"/>
      <w:marTop w:val="0"/>
      <w:marBottom w:val="0"/>
      <w:divBdr>
        <w:top w:val="none" w:sz="0" w:space="0" w:color="auto"/>
        <w:left w:val="none" w:sz="0" w:space="0" w:color="auto"/>
        <w:bottom w:val="none" w:sz="0" w:space="0" w:color="auto"/>
        <w:right w:val="none" w:sz="0" w:space="0" w:color="auto"/>
      </w:divBdr>
    </w:div>
    <w:div w:id="256864016">
      <w:bodyDiv w:val="1"/>
      <w:marLeft w:val="0"/>
      <w:marRight w:val="0"/>
      <w:marTop w:val="0"/>
      <w:marBottom w:val="0"/>
      <w:divBdr>
        <w:top w:val="none" w:sz="0" w:space="0" w:color="auto"/>
        <w:left w:val="none" w:sz="0" w:space="0" w:color="auto"/>
        <w:bottom w:val="none" w:sz="0" w:space="0" w:color="auto"/>
        <w:right w:val="none" w:sz="0" w:space="0" w:color="auto"/>
      </w:divBdr>
    </w:div>
    <w:div w:id="262611266">
      <w:bodyDiv w:val="1"/>
      <w:marLeft w:val="0"/>
      <w:marRight w:val="0"/>
      <w:marTop w:val="0"/>
      <w:marBottom w:val="0"/>
      <w:divBdr>
        <w:top w:val="none" w:sz="0" w:space="0" w:color="auto"/>
        <w:left w:val="none" w:sz="0" w:space="0" w:color="auto"/>
        <w:bottom w:val="none" w:sz="0" w:space="0" w:color="auto"/>
        <w:right w:val="none" w:sz="0" w:space="0" w:color="auto"/>
      </w:divBdr>
    </w:div>
    <w:div w:id="329254007">
      <w:bodyDiv w:val="1"/>
      <w:marLeft w:val="0"/>
      <w:marRight w:val="0"/>
      <w:marTop w:val="0"/>
      <w:marBottom w:val="0"/>
      <w:divBdr>
        <w:top w:val="none" w:sz="0" w:space="0" w:color="auto"/>
        <w:left w:val="none" w:sz="0" w:space="0" w:color="auto"/>
        <w:bottom w:val="none" w:sz="0" w:space="0" w:color="auto"/>
        <w:right w:val="none" w:sz="0" w:space="0" w:color="auto"/>
      </w:divBdr>
    </w:div>
    <w:div w:id="345403276">
      <w:bodyDiv w:val="1"/>
      <w:marLeft w:val="0"/>
      <w:marRight w:val="0"/>
      <w:marTop w:val="0"/>
      <w:marBottom w:val="0"/>
      <w:divBdr>
        <w:top w:val="none" w:sz="0" w:space="0" w:color="auto"/>
        <w:left w:val="none" w:sz="0" w:space="0" w:color="auto"/>
        <w:bottom w:val="none" w:sz="0" w:space="0" w:color="auto"/>
        <w:right w:val="none" w:sz="0" w:space="0" w:color="auto"/>
      </w:divBdr>
    </w:div>
    <w:div w:id="387849175">
      <w:bodyDiv w:val="1"/>
      <w:marLeft w:val="0"/>
      <w:marRight w:val="0"/>
      <w:marTop w:val="0"/>
      <w:marBottom w:val="0"/>
      <w:divBdr>
        <w:top w:val="none" w:sz="0" w:space="0" w:color="auto"/>
        <w:left w:val="none" w:sz="0" w:space="0" w:color="auto"/>
        <w:bottom w:val="none" w:sz="0" w:space="0" w:color="auto"/>
        <w:right w:val="none" w:sz="0" w:space="0" w:color="auto"/>
      </w:divBdr>
    </w:div>
    <w:div w:id="402529132">
      <w:bodyDiv w:val="1"/>
      <w:marLeft w:val="0"/>
      <w:marRight w:val="0"/>
      <w:marTop w:val="0"/>
      <w:marBottom w:val="0"/>
      <w:divBdr>
        <w:top w:val="none" w:sz="0" w:space="0" w:color="auto"/>
        <w:left w:val="none" w:sz="0" w:space="0" w:color="auto"/>
        <w:bottom w:val="none" w:sz="0" w:space="0" w:color="auto"/>
        <w:right w:val="none" w:sz="0" w:space="0" w:color="auto"/>
      </w:divBdr>
    </w:div>
    <w:div w:id="416170759">
      <w:bodyDiv w:val="1"/>
      <w:marLeft w:val="0"/>
      <w:marRight w:val="0"/>
      <w:marTop w:val="0"/>
      <w:marBottom w:val="0"/>
      <w:divBdr>
        <w:top w:val="none" w:sz="0" w:space="0" w:color="auto"/>
        <w:left w:val="none" w:sz="0" w:space="0" w:color="auto"/>
        <w:bottom w:val="none" w:sz="0" w:space="0" w:color="auto"/>
        <w:right w:val="none" w:sz="0" w:space="0" w:color="auto"/>
      </w:divBdr>
    </w:div>
    <w:div w:id="442959076">
      <w:bodyDiv w:val="1"/>
      <w:marLeft w:val="0"/>
      <w:marRight w:val="0"/>
      <w:marTop w:val="0"/>
      <w:marBottom w:val="0"/>
      <w:divBdr>
        <w:top w:val="none" w:sz="0" w:space="0" w:color="auto"/>
        <w:left w:val="none" w:sz="0" w:space="0" w:color="auto"/>
        <w:bottom w:val="none" w:sz="0" w:space="0" w:color="auto"/>
        <w:right w:val="none" w:sz="0" w:space="0" w:color="auto"/>
      </w:divBdr>
    </w:div>
    <w:div w:id="468015230">
      <w:bodyDiv w:val="1"/>
      <w:marLeft w:val="0"/>
      <w:marRight w:val="0"/>
      <w:marTop w:val="0"/>
      <w:marBottom w:val="0"/>
      <w:divBdr>
        <w:top w:val="none" w:sz="0" w:space="0" w:color="auto"/>
        <w:left w:val="none" w:sz="0" w:space="0" w:color="auto"/>
        <w:bottom w:val="none" w:sz="0" w:space="0" w:color="auto"/>
        <w:right w:val="none" w:sz="0" w:space="0" w:color="auto"/>
      </w:divBdr>
    </w:div>
    <w:div w:id="472406174">
      <w:bodyDiv w:val="1"/>
      <w:marLeft w:val="0"/>
      <w:marRight w:val="0"/>
      <w:marTop w:val="0"/>
      <w:marBottom w:val="0"/>
      <w:divBdr>
        <w:top w:val="none" w:sz="0" w:space="0" w:color="auto"/>
        <w:left w:val="none" w:sz="0" w:space="0" w:color="auto"/>
        <w:bottom w:val="none" w:sz="0" w:space="0" w:color="auto"/>
        <w:right w:val="none" w:sz="0" w:space="0" w:color="auto"/>
      </w:divBdr>
    </w:div>
    <w:div w:id="478499566">
      <w:bodyDiv w:val="1"/>
      <w:marLeft w:val="0"/>
      <w:marRight w:val="0"/>
      <w:marTop w:val="0"/>
      <w:marBottom w:val="0"/>
      <w:divBdr>
        <w:top w:val="none" w:sz="0" w:space="0" w:color="auto"/>
        <w:left w:val="none" w:sz="0" w:space="0" w:color="auto"/>
        <w:bottom w:val="none" w:sz="0" w:space="0" w:color="auto"/>
        <w:right w:val="none" w:sz="0" w:space="0" w:color="auto"/>
      </w:divBdr>
    </w:div>
    <w:div w:id="482551346">
      <w:bodyDiv w:val="1"/>
      <w:marLeft w:val="0"/>
      <w:marRight w:val="0"/>
      <w:marTop w:val="0"/>
      <w:marBottom w:val="0"/>
      <w:divBdr>
        <w:top w:val="none" w:sz="0" w:space="0" w:color="auto"/>
        <w:left w:val="none" w:sz="0" w:space="0" w:color="auto"/>
        <w:bottom w:val="none" w:sz="0" w:space="0" w:color="auto"/>
        <w:right w:val="none" w:sz="0" w:space="0" w:color="auto"/>
      </w:divBdr>
    </w:div>
    <w:div w:id="493037167">
      <w:bodyDiv w:val="1"/>
      <w:marLeft w:val="0"/>
      <w:marRight w:val="0"/>
      <w:marTop w:val="0"/>
      <w:marBottom w:val="0"/>
      <w:divBdr>
        <w:top w:val="none" w:sz="0" w:space="0" w:color="auto"/>
        <w:left w:val="none" w:sz="0" w:space="0" w:color="auto"/>
        <w:bottom w:val="none" w:sz="0" w:space="0" w:color="auto"/>
        <w:right w:val="none" w:sz="0" w:space="0" w:color="auto"/>
      </w:divBdr>
    </w:div>
    <w:div w:id="539977452">
      <w:bodyDiv w:val="1"/>
      <w:marLeft w:val="0"/>
      <w:marRight w:val="0"/>
      <w:marTop w:val="0"/>
      <w:marBottom w:val="0"/>
      <w:divBdr>
        <w:top w:val="none" w:sz="0" w:space="0" w:color="auto"/>
        <w:left w:val="none" w:sz="0" w:space="0" w:color="auto"/>
        <w:bottom w:val="none" w:sz="0" w:space="0" w:color="auto"/>
        <w:right w:val="none" w:sz="0" w:space="0" w:color="auto"/>
      </w:divBdr>
    </w:div>
    <w:div w:id="546650634">
      <w:bodyDiv w:val="1"/>
      <w:marLeft w:val="0"/>
      <w:marRight w:val="0"/>
      <w:marTop w:val="0"/>
      <w:marBottom w:val="0"/>
      <w:divBdr>
        <w:top w:val="none" w:sz="0" w:space="0" w:color="auto"/>
        <w:left w:val="none" w:sz="0" w:space="0" w:color="auto"/>
        <w:bottom w:val="none" w:sz="0" w:space="0" w:color="auto"/>
        <w:right w:val="none" w:sz="0" w:space="0" w:color="auto"/>
      </w:divBdr>
    </w:div>
    <w:div w:id="570964395">
      <w:bodyDiv w:val="1"/>
      <w:marLeft w:val="0"/>
      <w:marRight w:val="0"/>
      <w:marTop w:val="0"/>
      <w:marBottom w:val="0"/>
      <w:divBdr>
        <w:top w:val="none" w:sz="0" w:space="0" w:color="auto"/>
        <w:left w:val="none" w:sz="0" w:space="0" w:color="auto"/>
        <w:bottom w:val="none" w:sz="0" w:space="0" w:color="auto"/>
        <w:right w:val="none" w:sz="0" w:space="0" w:color="auto"/>
      </w:divBdr>
    </w:div>
    <w:div w:id="590746206">
      <w:bodyDiv w:val="1"/>
      <w:marLeft w:val="0"/>
      <w:marRight w:val="0"/>
      <w:marTop w:val="0"/>
      <w:marBottom w:val="0"/>
      <w:divBdr>
        <w:top w:val="none" w:sz="0" w:space="0" w:color="auto"/>
        <w:left w:val="none" w:sz="0" w:space="0" w:color="auto"/>
        <w:bottom w:val="none" w:sz="0" w:space="0" w:color="auto"/>
        <w:right w:val="none" w:sz="0" w:space="0" w:color="auto"/>
      </w:divBdr>
    </w:div>
    <w:div w:id="598023442">
      <w:bodyDiv w:val="1"/>
      <w:marLeft w:val="0"/>
      <w:marRight w:val="0"/>
      <w:marTop w:val="0"/>
      <w:marBottom w:val="0"/>
      <w:divBdr>
        <w:top w:val="none" w:sz="0" w:space="0" w:color="auto"/>
        <w:left w:val="none" w:sz="0" w:space="0" w:color="auto"/>
        <w:bottom w:val="none" w:sz="0" w:space="0" w:color="auto"/>
        <w:right w:val="none" w:sz="0" w:space="0" w:color="auto"/>
      </w:divBdr>
    </w:div>
    <w:div w:id="610942526">
      <w:bodyDiv w:val="1"/>
      <w:marLeft w:val="0"/>
      <w:marRight w:val="0"/>
      <w:marTop w:val="0"/>
      <w:marBottom w:val="0"/>
      <w:divBdr>
        <w:top w:val="none" w:sz="0" w:space="0" w:color="auto"/>
        <w:left w:val="none" w:sz="0" w:space="0" w:color="auto"/>
        <w:bottom w:val="none" w:sz="0" w:space="0" w:color="auto"/>
        <w:right w:val="none" w:sz="0" w:space="0" w:color="auto"/>
      </w:divBdr>
    </w:div>
    <w:div w:id="628902526">
      <w:bodyDiv w:val="1"/>
      <w:marLeft w:val="0"/>
      <w:marRight w:val="0"/>
      <w:marTop w:val="0"/>
      <w:marBottom w:val="0"/>
      <w:divBdr>
        <w:top w:val="none" w:sz="0" w:space="0" w:color="auto"/>
        <w:left w:val="none" w:sz="0" w:space="0" w:color="auto"/>
        <w:bottom w:val="none" w:sz="0" w:space="0" w:color="auto"/>
        <w:right w:val="none" w:sz="0" w:space="0" w:color="auto"/>
      </w:divBdr>
    </w:div>
    <w:div w:id="633564679">
      <w:bodyDiv w:val="1"/>
      <w:marLeft w:val="0"/>
      <w:marRight w:val="0"/>
      <w:marTop w:val="0"/>
      <w:marBottom w:val="0"/>
      <w:divBdr>
        <w:top w:val="none" w:sz="0" w:space="0" w:color="auto"/>
        <w:left w:val="none" w:sz="0" w:space="0" w:color="auto"/>
        <w:bottom w:val="none" w:sz="0" w:space="0" w:color="auto"/>
        <w:right w:val="none" w:sz="0" w:space="0" w:color="auto"/>
      </w:divBdr>
      <w:divsChild>
        <w:div w:id="259219634">
          <w:marLeft w:val="0"/>
          <w:marRight w:val="0"/>
          <w:marTop w:val="0"/>
          <w:marBottom w:val="0"/>
          <w:divBdr>
            <w:top w:val="none" w:sz="0" w:space="0" w:color="auto"/>
            <w:left w:val="none" w:sz="0" w:space="0" w:color="auto"/>
            <w:bottom w:val="none" w:sz="0" w:space="0" w:color="auto"/>
            <w:right w:val="none" w:sz="0" w:space="0" w:color="auto"/>
          </w:divBdr>
        </w:div>
        <w:div w:id="1260019566">
          <w:marLeft w:val="0"/>
          <w:marRight w:val="0"/>
          <w:marTop w:val="0"/>
          <w:marBottom w:val="0"/>
          <w:divBdr>
            <w:top w:val="none" w:sz="0" w:space="0" w:color="auto"/>
            <w:left w:val="none" w:sz="0" w:space="0" w:color="auto"/>
            <w:bottom w:val="none" w:sz="0" w:space="0" w:color="auto"/>
            <w:right w:val="none" w:sz="0" w:space="0" w:color="auto"/>
          </w:divBdr>
        </w:div>
      </w:divsChild>
    </w:div>
    <w:div w:id="641813859">
      <w:bodyDiv w:val="1"/>
      <w:marLeft w:val="0"/>
      <w:marRight w:val="0"/>
      <w:marTop w:val="0"/>
      <w:marBottom w:val="0"/>
      <w:divBdr>
        <w:top w:val="none" w:sz="0" w:space="0" w:color="auto"/>
        <w:left w:val="none" w:sz="0" w:space="0" w:color="auto"/>
        <w:bottom w:val="none" w:sz="0" w:space="0" w:color="auto"/>
        <w:right w:val="none" w:sz="0" w:space="0" w:color="auto"/>
      </w:divBdr>
    </w:div>
    <w:div w:id="653871212">
      <w:bodyDiv w:val="1"/>
      <w:marLeft w:val="0"/>
      <w:marRight w:val="0"/>
      <w:marTop w:val="0"/>
      <w:marBottom w:val="0"/>
      <w:divBdr>
        <w:top w:val="none" w:sz="0" w:space="0" w:color="auto"/>
        <w:left w:val="none" w:sz="0" w:space="0" w:color="auto"/>
        <w:bottom w:val="none" w:sz="0" w:space="0" w:color="auto"/>
        <w:right w:val="none" w:sz="0" w:space="0" w:color="auto"/>
      </w:divBdr>
    </w:div>
    <w:div w:id="668024965">
      <w:bodyDiv w:val="1"/>
      <w:marLeft w:val="0"/>
      <w:marRight w:val="0"/>
      <w:marTop w:val="0"/>
      <w:marBottom w:val="0"/>
      <w:divBdr>
        <w:top w:val="none" w:sz="0" w:space="0" w:color="auto"/>
        <w:left w:val="none" w:sz="0" w:space="0" w:color="auto"/>
        <w:bottom w:val="none" w:sz="0" w:space="0" w:color="auto"/>
        <w:right w:val="none" w:sz="0" w:space="0" w:color="auto"/>
      </w:divBdr>
    </w:div>
    <w:div w:id="672102152">
      <w:bodyDiv w:val="1"/>
      <w:marLeft w:val="0"/>
      <w:marRight w:val="0"/>
      <w:marTop w:val="0"/>
      <w:marBottom w:val="0"/>
      <w:divBdr>
        <w:top w:val="none" w:sz="0" w:space="0" w:color="auto"/>
        <w:left w:val="none" w:sz="0" w:space="0" w:color="auto"/>
        <w:bottom w:val="none" w:sz="0" w:space="0" w:color="auto"/>
        <w:right w:val="none" w:sz="0" w:space="0" w:color="auto"/>
      </w:divBdr>
    </w:div>
    <w:div w:id="672924838">
      <w:bodyDiv w:val="1"/>
      <w:marLeft w:val="0"/>
      <w:marRight w:val="0"/>
      <w:marTop w:val="0"/>
      <w:marBottom w:val="0"/>
      <w:divBdr>
        <w:top w:val="none" w:sz="0" w:space="0" w:color="auto"/>
        <w:left w:val="none" w:sz="0" w:space="0" w:color="auto"/>
        <w:bottom w:val="none" w:sz="0" w:space="0" w:color="auto"/>
        <w:right w:val="none" w:sz="0" w:space="0" w:color="auto"/>
      </w:divBdr>
    </w:div>
    <w:div w:id="678584479">
      <w:bodyDiv w:val="1"/>
      <w:marLeft w:val="0"/>
      <w:marRight w:val="0"/>
      <w:marTop w:val="0"/>
      <w:marBottom w:val="0"/>
      <w:divBdr>
        <w:top w:val="none" w:sz="0" w:space="0" w:color="auto"/>
        <w:left w:val="none" w:sz="0" w:space="0" w:color="auto"/>
        <w:bottom w:val="none" w:sz="0" w:space="0" w:color="auto"/>
        <w:right w:val="none" w:sz="0" w:space="0" w:color="auto"/>
      </w:divBdr>
    </w:div>
    <w:div w:id="696085922">
      <w:bodyDiv w:val="1"/>
      <w:marLeft w:val="0"/>
      <w:marRight w:val="0"/>
      <w:marTop w:val="0"/>
      <w:marBottom w:val="0"/>
      <w:divBdr>
        <w:top w:val="none" w:sz="0" w:space="0" w:color="auto"/>
        <w:left w:val="none" w:sz="0" w:space="0" w:color="auto"/>
        <w:bottom w:val="none" w:sz="0" w:space="0" w:color="auto"/>
        <w:right w:val="none" w:sz="0" w:space="0" w:color="auto"/>
      </w:divBdr>
    </w:div>
    <w:div w:id="715812996">
      <w:bodyDiv w:val="1"/>
      <w:marLeft w:val="0"/>
      <w:marRight w:val="0"/>
      <w:marTop w:val="0"/>
      <w:marBottom w:val="0"/>
      <w:divBdr>
        <w:top w:val="none" w:sz="0" w:space="0" w:color="auto"/>
        <w:left w:val="none" w:sz="0" w:space="0" w:color="auto"/>
        <w:bottom w:val="none" w:sz="0" w:space="0" w:color="auto"/>
        <w:right w:val="none" w:sz="0" w:space="0" w:color="auto"/>
      </w:divBdr>
    </w:div>
    <w:div w:id="725957065">
      <w:bodyDiv w:val="1"/>
      <w:marLeft w:val="0"/>
      <w:marRight w:val="0"/>
      <w:marTop w:val="0"/>
      <w:marBottom w:val="0"/>
      <w:divBdr>
        <w:top w:val="none" w:sz="0" w:space="0" w:color="auto"/>
        <w:left w:val="none" w:sz="0" w:space="0" w:color="auto"/>
        <w:bottom w:val="none" w:sz="0" w:space="0" w:color="auto"/>
        <w:right w:val="none" w:sz="0" w:space="0" w:color="auto"/>
      </w:divBdr>
    </w:div>
    <w:div w:id="729966041">
      <w:bodyDiv w:val="1"/>
      <w:marLeft w:val="0"/>
      <w:marRight w:val="0"/>
      <w:marTop w:val="0"/>
      <w:marBottom w:val="0"/>
      <w:divBdr>
        <w:top w:val="none" w:sz="0" w:space="0" w:color="auto"/>
        <w:left w:val="none" w:sz="0" w:space="0" w:color="auto"/>
        <w:bottom w:val="none" w:sz="0" w:space="0" w:color="auto"/>
        <w:right w:val="none" w:sz="0" w:space="0" w:color="auto"/>
      </w:divBdr>
    </w:div>
    <w:div w:id="730233194">
      <w:bodyDiv w:val="1"/>
      <w:marLeft w:val="0"/>
      <w:marRight w:val="0"/>
      <w:marTop w:val="0"/>
      <w:marBottom w:val="0"/>
      <w:divBdr>
        <w:top w:val="none" w:sz="0" w:space="0" w:color="auto"/>
        <w:left w:val="none" w:sz="0" w:space="0" w:color="auto"/>
        <w:bottom w:val="none" w:sz="0" w:space="0" w:color="auto"/>
        <w:right w:val="none" w:sz="0" w:space="0" w:color="auto"/>
      </w:divBdr>
    </w:div>
    <w:div w:id="775950842">
      <w:bodyDiv w:val="1"/>
      <w:marLeft w:val="0"/>
      <w:marRight w:val="0"/>
      <w:marTop w:val="0"/>
      <w:marBottom w:val="0"/>
      <w:divBdr>
        <w:top w:val="none" w:sz="0" w:space="0" w:color="auto"/>
        <w:left w:val="none" w:sz="0" w:space="0" w:color="auto"/>
        <w:bottom w:val="none" w:sz="0" w:space="0" w:color="auto"/>
        <w:right w:val="none" w:sz="0" w:space="0" w:color="auto"/>
      </w:divBdr>
    </w:div>
    <w:div w:id="817915243">
      <w:bodyDiv w:val="1"/>
      <w:marLeft w:val="0"/>
      <w:marRight w:val="0"/>
      <w:marTop w:val="0"/>
      <w:marBottom w:val="0"/>
      <w:divBdr>
        <w:top w:val="none" w:sz="0" w:space="0" w:color="auto"/>
        <w:left w:val="none" w:sz="0" w:space="0" w:color="auto"/>
        <w:bottom w:val="none" w:sz="0" w:space="0" w:color="auto"/>
        <w:right w:val="none" w:sz="0" w:space="0" w:color="auto"/>
      </w:divBdr>
    </w:div>
    <w:div w:id="819998466">
      <w:bodyDiv w:val="1"/>
      <w:marLeft w:val="0"/>
      <w:marRight w:val="0"/>
      <w:marTop w:val="0"/>
      <w:marBottom w:val="0"/>
      <w:divBdr>
        <w:top w:val="none" w:sz="0" w:space="0" w:color="auto"/>
        <w:left w:val="none" w:sz="0" w:space="0" w:color="auto"/>
        <w:bottom w:val="none" w:sz="0" w:space="0" w:color="auto"/>
        <w:right w:val="none" w:sz="0" w:space="0" w:color="auto"/>
      </w:divBdr>
    </w:div>
    <w:div w:id="826480826">
      <w:bodyDiv w:val="1"/>
      <w:marLeft w:val="0"/>
      <w:marRight w:val="0"/>
      <w:marTop w:val="0"/>
      <w:marBottom w:val="0"/>
      <w:divBdr>
        <w:top w:val="none" w:sz="0" w:space="0" w:color="auto"/>
        <w:left w:val="none" w:sz="0" w:space="0" w:color="auto"/>
        <w:bottom w:val="none" w:sz="0" w:space="0" w:color="auto"/>
        <w:right w:val="none" w:sz="0" w:space="0" w:color="auto"/>
      </w:divBdr>
    </w:div>
    <w:div w:id="843010852">
      <w:bodyDiv w:val="1"/>
      <w:marLeft w:val="0"/>
      <w:marRight w:val="0"/>
      <w:marTop w:val="0"/>
      <w:marBottom w:val="0"/>
      <w:divBdr>
        <w:top w:val="none" w:sz="0" w:space="0" w:color="auto"/>
        <w:left w:val="none" w:sz="0" w:space="0" w:color="auto"/>
        <w:bottom w:val="none" w:sz="0" w:space="0" w:color="auto"/>
        <w:right w:val="none" w:sz="0" w:space="0" w:color="auto"/>
      </w:divBdr>
    </w:div>
    <w:div w:id="872501470">
      <w:bodyDiv w:val="1"/>
      <w:marLeft w:val="0"/>
      <w:marRight w:val="0"/>
      <w:marTop w:val="0"/>
      <w:marBottom w:val="0"/>
      <w:divBdr>
        <w:top w:val="none" w:sz="0" w:space="0" w:color="auto"/>
        <w:left w:val="none" w:sz="0" w:space="0" w:color="auto"/>
        <w:bottom w:val="none" w:sz="0" w:space="0" w:color="auto"/>
        <w:right w:val="none" w:sz="0" w:space="0" w:color="auto"/>
      </w:divBdr>
    </w:div>
    <w:div w:id="881090673">
      <w:bodyDiv w:val="1"/>
      <w:marLeft w:val="0"/>
      <w:marRight w:val="0"/>
      <w:marTop w:val="0"/>
      <w:marBottom w:val="0"/>
      <w:divBdr>
        <w:top w:val="none" w:sz="0" w:space="0" w:color="auto"/>
        <w:left w:val="none" w:sz="0" w:space="0" w:color="auto"/>
        <w:bottom w:val="none" w:sz="0" w:space="0" w:color="auto"/>
        <w:right w:val="none" w:sz="0" w:space="0" w:color="auto"/>
      </w:divBdr>
    </w:div>
    <w:div w:id="883784866">
      <w:bodyDiv w:val="1"/>
      <w:marLeft w:val="0"/>
      <w:marRight w:val="0"/>
      <w:marTop w:val="0"/>
      <w:marBottom w:val="0"/>
      <w:divBdr>
        <w:top w:val="none" w:sz="0" w:space="0" w:color="auto"/>
        <w:left w:val="none" w:sz="0" w:space="0" w:color="auto"/>
        <w:bottom w:val="none" w:sz="0" w:space="0" w:color="auto"/>
        <w:right w:val="none" w:sz="0" w:space="0" w:color="auto"/>
      </w:divBdr>
    </w:div>
    <w:div w:id="894121766">
      <w:bodyDiv w:val="1"/>
      <w:marLeft w:val="0"/>
      <w:marRight w:val="0"/>
      <w:marTop w:val="0"/>
      <w:marBottom w:val="0"/>
      <w:divBdr>
        <w:top w:val="none" w:sz="0" w:space="0" w:color="auto"/>
        <w:left w:val="none" w:sz="0" w:space="0" w:color="auto"/>
        <w:bottom w:val="none" w:sz="0" w:space="0" w:color="auto"/>
        <w:right w:val="none" w:sz="0" w:space="0" w:color="auto"/>
      </w:divBdr>
    </w:div>
    <w:div w:id="898400033">
      <w:bodyDiv w:val="1"/>
      <w:marLeft w:val="0"/>
      <w:marRight w:val="0"/>
      <w:marTop w:val="0"/>
      <w:marBottom w:val="0"/>
      <w:divBdr>
        <w:top w:val="none" w:sz="0" w:space="0" w:color="auto"/>
        <w:left w:val="none" w:sz="0" w:space="0" w:color="auto"/>
        <w:bottom w:val="none" w:sz="0" w:space="0" w:color="auto"/>
        <w:right w:val="none" w:sz="0" w:space="0" w:color="auto"/>
      </w:divBdr>
    </w:div>
    <w:div w:id="916594205">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928272738">
      <w:bodyDiv w:val="1"/>
      <w:marLeft w:val="0"/>
      <w:marRight w:val="0"/>
      <w:marTop w:val="0"/>
      <w:marBottom w:val="0"/>
      <w:divBdr>
        <w:top w:val="none" w:sz="0" w:space="0" w:color="auto"/>
        <w:left w:val="none" w:sz="0" w:space="0" w:color="auto"/>
        <w:bottom w:val="none" w:sz="0" w:space="0" w:color="auto"/>
        <w:right w:val="none" w:sz="0" w:space="0" w:color="auto"/>
      </w:divBdr>
    </w:div>
    <w:div w:id="931429739">
      <w:bodyDiv w:val="1"/>
      <w:marLeft w:val="0"/>
      <w:marRight w:val="0"/>
      <w:marTop w:val="0"/>
      <w:marBottom w:val="0"/>
      <w:divBdr>
        <w:top w:val="none" w:sz="0" w:space="0" w:color="auto"/>
        <w:left w:val="none" w:sz="0" w:space="0" w:color="auto"/>
        <w:bottom w:val="none" w:sz="0" w:space="0" w:color="auto"/>
        <w:right w:val="none" w:sz="0" w:space="0" w:color="auto"/>
      </w:divBdr>
    </w:div>
    <w:div w:id="947590497">
      <w:bodyDiv w:val="1"/>
      <w:marLeft w:val="0"/>
      <w:marRight w:val="0"/>
      <w:marTop w:val="0"/>
      <w:marBottom w:val="0"/>
      <w:divBdr>
        <w:top w:val="none" w:sz="0" w:space="0" w:color="auto"/>
        <w:left w:val="none" w:sz="0" w:space="0" w:color="auto"/>
        <w:bottom w:val="none" w:sz="0" w:space="0" w:color="auto"/>
        <w:right w:val="none" w:sz="0" w:space="0" w:color="auto"/>
      </w:divBdr>
    </w:div>
    <w:div w:id="957876989">
      <w:bodyDiv w:val="1"/>
      <w:marLeft w:val="0"/>
      <w:marRight w:val="0"/>
      <w:marTop w:val="0"/>
      <w:marBottom w:val="0"/>
      <w:divBdr>
        <w:top w:val="none" w:sz="0" w:space="0" w:color="auto"/>
        <w:left w:val="none" w:sz="0" w:space="0" w:color="auto"/>
        <w:bottom w:val="none" w:sz="0" w:space="0" w:color="auto"/>
        <w:right w:val="none" w:sz="0" w:space="0" w:color="auto"/>
      </w:divBdr>
    </w:div>
    <w:div w:id="967199094">
      <w:bodyDiv w:val="1"/>
      <w:marLeft w:val="0"/>
      <w:marRight w:val="0"/>
      <w:marTop w:val="0"/>
      <w:marBottom w:val="0"/>
      <w:divBdr>
        <w:top w:val="none" w:sz="0" w:space="0" w:color="auto"/>
        <w:left w:val="none" w:sz="0" w:space="0" w:color="auto"/>
        <w:bottom w:val="none" w:sz="0" w:space="0" w:color="auto"/>
        <w:right w:val="none" w:sz="0" w:space="0" w:color="auto"/>
      </w:divBdr>
    </w:div>
    <w:div w:id="973486304">
      <w:bodyDiv w:val="1"/>
      <w:marLeft w:val="0"/>
      <w:marRight w:val="0"/>
      <w:marTop w:val="0"/>
      <w:marBottom w:val="0"/>
      <w:divBdr>
        <w:top w:val="none" w:sz="0" w:space="0" w:color="auto"/>
        <w:left w:val="none" w:sz="0" w:space="0" w:color="auto"/>
        <w:bottom w:val="none" w:sz="0" w:space="0" w:color="auto"/>
        <w:right w:val="none" w:sz="0" w:space="0" w:color="auto"/>
      </w:divBdr>
    </w:div>
    <w:div w:id="978416975">
      <w:bodyDiv w:val="1"/>
      <w:marLeft w:val="0"/>
      <w:marRight w:val="0"/>
      <w:marTop w:val="0"/>
      <w:marBottom w:val="0"/>
      <w:divBdr>
        <w:top w:val="none" w:sz="0" w:space="0" w:color="auto"/>
        <w:left w:val="none" w:sz="0" w:space="0" w:color="auto"/>
        <w:bottom w:val="none" w:sz="0" w:space="0" w:color="auto"/>
        <w:right w:val="none" w:sz="0" w:space="0" w:color="auto"/>
      </w:divBdr>
    </w:div>
    <w:div w:id="1034648852">
      <w:bodyDiv w:val="1"/>
      <w:marLeft w:val="0"/>
      <w:marRight w:val="0"/>
      <w:marTop w:val="0"/>
      <w:marBottom w:val="0"/>
      <w:divBdr>
        <w:top w:val="none" w:sz="0" w:space="0" w:color="auto"/>
        <w:left w:val="none" w:sz="0" w:space="0" w:color="auto"/>
        <w:bottom w:val="none" w:sz="0" w:space="0" w:color="auto"/>
        <w:right w:val="none" w:sz="0" w:space="0" w:color="auto"/>
      </w:divBdr>
    </w:div>
    <w:div w:id="1045058988">
      <w:bodyDiv w:val="1"/>
      <w:marLeft w:val="0"/>
      <w:marRight w:val="0"/>
      <w:marTop w:val="0"/>
      <w:marBottom w:val="0"/>
      <w:divBdr>
        <w:top w:val="none" w:sz="0" w:space="0" w:color="auto"/>
        <w:left w:val="none" w:sz="0" w:space="0" w:color="auto"/>
        <w:bottom w:val="none" w:sz="0" w:space="0" w:color="auto"/>
        <w:right w:val="none" w:sz="0" w:space="0" w:color="auto"/>
      </w:divBdr>
    </w:div>
    <w:div w:id="1053231829">
      <w:bodyDiv w:val="1"/>
      <w:marLeft w:val="0"/>
      <w:marRight w:val="0"/>
      <w:marTop w:val="0"/>
      <w:marBottom w:val="0"/>
      <w:divBdr>
        <w:top w:val="none" w:sz="0" w:space="0" w:color="auto"/>
        <w:left w:val="none" w:sz="0" w:space="0" w:color="auto"/>
        <w:bottom w:val="none" w:sz="0" w:space="0" w:color="auto"/>
        <w:right w:val="none" w:sz="0" w:space="0" w:color="auto"/>
      </w:divBdr>
    </w:div>
    <w:div w:id="1059666963">
      <w:bodyDiv w:val="1"/>
      <w:marLeft w:val="0"/>
      <w:marRight w:val="0"/>
      <w:marTop w:val="0"/>
      <w:marBottom w:val="0"/>
      <w:divBdr>
        <w:top w:val="none" w:sz="0" w:space="0" w:color="auto"/>
        <w:left w:val="none" w:sz="0" w:space="0" w:color="auto"/>
        <w:bottom w:val="none" w:sz="0" w:space="0" w:color="auto"/>
        <w:right w:val="none" w:sz="0" w:space="0" w:color="auto"/>
      </w:divBdr>
    </w:div>
    <w:div w:id="1063718536">
      <w:bodyDiv w:val="1"/>
      <w:marLeft w:val="0"/>
      <w:marRight w:val="0"/>
      <w:marTop w:val="0"/>
      <w:marBottom w:val="0"/>
      <w:divBdr>
        <w:top w:val="none" w:sz="0" w:space="0" w:color="auto"/>
        <w:left w:val="none" w:sz="0" w:space="0" w:color="auto"/>
        <w:bottom w:val="none" w:sz="0" w:space="0" w:color="auto"/>
        <w:right w:val="none" w:sz="0" w:space="0" w:color="auto"/>
      </w:divBdr>
    </w:div>
    <w:div w:id="1065490502">
      <w:bodyDiv w:val="1"/>
      <w:marLeft w:val="0"/>
      <w:marRight w:val="0"/>
      <w:marTop w:val="0"/>
      <w:marBottom w:val="0"/>
      <w:divBdr>
        <w:top w:val="none" w:sz="0" w:space="0" w:color="auto"/>
        <w:left w:val="none" w:sz="0" w:space="0" w:color="auto"/>
        <w:bottom w:val="none" w:sz="0" w:space="0" w:color="auto"/>
        <w:right w:val="none" w:sz="0" w:space="0" w:color="auto"/>
      </w:divBdr>
    </w:div>
    <w:div w:id="1073043401">
      <w:bodyDiv w:val="1"/>
      <w:marLeft w:val="0"/>
      <w:marRight w:val="0"/>
      <w:marTop w:val="0"/>
      <w:marBottom w:val="0"/>
      <w:divBdr>
        <w:top w:val="none" w:sz="0" w:space="0" w:color="auto"/>
        <w:left w:val="none" w:sz="0" w:space="0" w:color="auto"/>
        <w:bottom w:val="none" w:sz="0" w:space="0" w:color="auto"/>
        <w:right w:val="none" w:sz="0" w:space="0" w:color="auto"/>
      </w:divBdr>
    </w:div>
    <w:div w:id="1093551815">
      <w:bodyDiv w:val="1"/>
      <w:marLeft w:val="0"/>
      <w:marRight w:val="0"/>
      <w:marTop w:val="0"/>
      <w:marBottom w:val="0"/>
      <w:divBdr>
        <w:top w:val="none" w:sz="0" w:space="0" w:color="auto"/>
        <w:left w:val="none" w:sz="0" w:space="0" w:color="auto"/>
        <w:bottom w:val="none" w:sz="0" w:space="0" w:color="auto"/>
        <w:right w:val="none" w:sz="0" w:space="0" w:color="auto"/>
      </w:divBdr>
    </w:div>
    <w:div w:id="1098645773">
      <w:bodyDiv w:val="1"/>
      <w:marLeft w:val="0"/>
      <w:marRight w:val="0"/>
      <w:marTop w:val="0"/>
      <w:marBottom w:val="0"/>
      <w:divBdr>
        <w:top w:val="none" w:sz="0" w:space="0" w:color="auto"/>
        <w:left w:val="none" w:sz="0" w:space="0" w:color="auto"/>
        <w:bottom w:val="none" w:sz="0" w:space="0" w:color="auto"/>
        <w:right w:val="none" w:sz="0" w:space="0" w:color="auto"/>
      </w:divBdr>
    </w:div>
    <w:div w:id="1111775795">
      <w:bodyDiv w:val="1"/>
      <w:marLeft w:val="0"/>
      <w:marRight w:val="0"/>
      <w:marTop w:val="0"/>
      <w:marBottom w:val="0"/>
      <w:divBdr>
        <w:top w:val="none" w:sz="0" w:space="0" w:color="auto"/>
        <w:left w:val="none" w:sz="0" w:space="0" w:color="auto"/>
        <w:bottom w:val="none" w:sz="0" w:space="0" w:color="auto"/>
        <w:right w:val="none" w:sz="0" w:space="0" w:color="auto"/>
      </w:divBdr>
    </w:div>
    <w:div w:id="1122965825">
      <w:bodyDiv w:val="1"/>
      <w:marLeft w:val="0"/>
      <w:marRight w:val="0"/>
      <w:marTop w:val="0"/>
      <w:marBottom w:val="0"/>
      <w:divBdr>
        <w:top w:val="none" w:sz="0" w:space="0" w:color="auto"/>
        <w:left w:val="none" w:sz="0" w:space="0" w:color="auto"/>
        <w:bottom w:val="none" w:sz="0" w:space="0" w:color="auto"/>
        <w:right w:val="none" w:sz="0" w:space="0" w:color="auto"/>
      </w:divBdr>
    </w:div>
    <w:div w:id="1128821619">
      <w:bodyDiv w:val="1"/>
      <w:marLeft w:val="0"/>
      <w:marRight w:val="0"/>
      <w:marTop w:val="0"/>
      <w:marBottom w:val="0"/>
      <w:divBdr>
        <w:top w:val="none" w:sz="0" w:space="0" w:color="auto"/>
        <w:left w:val="none" w:sz="0" w:space="0" w:color="auto"/>
        <w:bottom w:val="none" w:sz="0" w:space="0" w:color="auto"/>
        <w:right w:val="none" w:sz="0" w:space="0" w:color="auto"/>
      </w:divBdr>
    </w:div>
    <w:div w:id="1152410670">
      <w:bodyDiv w:val="1"/>
      <w:marLeft w:val="0"/>
      <w:marRight w:val="0"/>
      <w:marTop w:val="0"/>
      <w:marBottom w:val="0"/>
      <w:divBdr>
        <w:top w:val="none" w:sz="0" w:space="0" w:color="auto"/>
        <w:left w:val="none" w:sz="0" w:space="0" w:color="auto"/>
        <w:bottom w:val="none" w:sz="0" w:space="0" w:color="auto"/>
        <w:right w:val="none" w:sz="0" w:space="0" w:color="auto"/>
      </w:divBdr>
    </w:div>
    <w:div w:id="1193033541">
      <w:bodyDiv w:val="1"/>
      <w:marLeft w:val="0"/>
      <w:marRight w:val="0"/>
      <w:marTop w:val="0"/>
      <w:marBottom w:val="0"/>
      <w:divBdr>
        <w:top w:val="none" w:sz="0" w:space="0" w:color="auto"/>
        <w:left w:val="none" w:sz="0" w:space="0" w:color="auto"/>
        <w:bottom w:val="none" w:sz="0" w:space="0" w:color="auto"/>
        <w:right w:val="none" w:sz="0" w:space="0" w:color="auto"/>
      </w:divBdr>
    </w:div>
    <w:div w:id="1194077352">
      <w:bodyDiv w:val="1"/>
      <w:marLeft w:val="0"/>
      <w:marRight w:val="0"/>
      <w:marTop w:val="0"/>
      <w:marBottom w:val="0"/>
      <w:divBdr>
        <w:top w:val="none" w:sz="0" w:space="0" w:color="auto"/>
        <w:left w:val="none" w:sz="0" w:space="0" w:color="auto"/>
        <w:bottom w:val="none" w:sz="0" w:space="0" w:color="auto"/>
        <w:right w:val="none" w:sz="0" w:space="0" w:color="auto"/>
      </w:divBdr>
    </w:div>
    <w:div w:id="1219168404">
      <w:bodyDiv w:val="1"/>
      <w:marLeft w:val="0"/>
      <w:marRight w:val="0"/>
      <w:marTop w:val="0"/>
      <w:marBottom w:val="0"/>
      <w:divBdr>
        <w:top w:val="none" w:sz="0" w:space="0" w:color="auto"/>
        <w:left w:val="none" w:sz="0" w:space="0" w:color="auto"/>
        <w:bottom w:val="none" w:sz="0" w:space="0" w:color="auto"/>
        <w:right w:val="none" w:sz="0" w:space="0" w:color="auto"/>
      </w:divBdr>
    </w:div>
    <w:div w:id="1227883440">
      <w:bodyDiv w:val="1"/>
      <w:marLeft w:val="0"/>
      <w:marRight w:val="0"/>
      <w:marTop w:val="0"/>
      <w:marBottom w:val="0"/>
      <w:divBdr>
        <w:top w:val="none" w:sz="0" w:space="0" w:color="auto"/>
        <w:left w:val="none" w:sz="0" w:space="0" w:color="auto"/>
        <w:bottom w:val="none" w:sz="0" w:space="0" w:color="auto"/>
        <w:right w:val="none" w:sz="0" w:space="0" w:color="auto"/>
      </w:divBdr>
    </w:div>
    <w:div w:id="1270088761">
      <w:bodyDiv w:val="1"/>
      <w:marLeft w:val="0"/>
      <w:marRight w:val="0"/>
      <w:marTop w:val="0"/>
      <w:marBottom w:val="0"/>
      <w:divBdr>
        <w:top w:val="none" w:sz="0" w:space="0" w:color="auto"/>
        <w:left w:val="none" w:sz="0" w:space="0" w:color="auto"/>
        <w:bottom w:val="none" w:sz="0" w:space="0" w:color="auto"/>
        <w:right w:val="none" w:sz="0" w:space="0" w:color="auto"/>
      </w:divBdr>
    </w:div>
    <w:div w:id="1296989925">
      <w:bodyDiv w:val="1"/>
      <w:marLeft w:val="0"/>
      <w:marRight w:val="0"/>
      <w:marTop w:val="0"/>
      <w:marBottom w:val="0"/>
      <w:divBdr>
        <w:top w:val="none" w:sz="0" w:space="0" w:color="auto"/>
        <w:left w:val="none" w:sz="0" w:space="0" w:color="auto"/>
        <w:bottom w:val="none" w:sz="0" w:space="0" w:color="auto"/>
        <w:right w:val="none" w:sz="0" w:space="0" w:color="auto"/>
      </w:divBdr>
    </w:div>
    <w:div w:id="1297102026">
      <w:bodyDiv w:val="1"/>
      <w:marLeft w:val="0"/>
      <w:marRight w:val="0"/>
      <w:marTop w:val="0"/>
      <w:marBottom w:val="0"/>
      <w:divBdr>
        <w:top w:val="none" w:sz="0" w:space="0" w:color="auto"/>
        <w:left w:val="none" w:sz="0" w:space="0" w:color="auto"/>
        <w:bottom w:val="none" w:sz="0" w:space="0" w:color="auto"/>
        <w:right w:val="none" w:sz="0" w:space="0" w:color="auto"/>
      </w:divBdr>
    </w:div>
    <w:div w:id="1324314799">
      <w:bodyDiv w:val="1"/>
      <w:marLeft w:val="0"/>
      <w:marRight w:val="0"/>
      <w:marTop w:val="0"/>
      <w:marBottom w:val="0"/>
      <w:divBdr>
        <w:top w:val="none" w:sz="0" w:space="0" w:color="auto"/>
        <w:left w:val="none" w:sz="0" w:space="0" w:color="auto"/>
        <w:bottom w:val="none" w:sz="0" w:space="0" w:color="auto"/>
        <w:right w:val="none" w:sz="0" w:space="0" w:color="auto"/>
      </w:divBdr>
    </w:div>
    <w:div w:id="1334333039">
      <w:bodyDiv w:val="1"/>
      <w:marLeft w:val="0"/>
      <w:marRight w:val="0"/>
      <w:marTop w:val="0"/>
      <w:marBottom w:val="0"/>
      <w:divBdr>
        <w:top w:val="none" w:sz="0" w:space="0" w:color="auto"/>
        <w:left w:val="none" w:sz="0" w:space="0" w:color="auto"/>
        <w:bottom w:val="none" w:sz="0" w:space="0" w:color="auto"/>
        <w:right w:val="none" w:sz="0" w:space="0" w:color="auto"/>
      </w:divBdr>
    </w:div>
    <w:div w:id="1349942516">
      <w:bodyDiv w:val="1"/>
      <w:marLeft w:val="0"/>
      <w:marRight w:val="0"/>
      <w:marTop w:val="0"/>
      <w:marBottom w:val="0"/>
      <w:divBdr>
        <w:top w:val="none" w:sz="0" w:space="0" w:color="auto"/>
        <w:left w:val="none" w:sz="0" w:space="0" w:color="auto"/>
        <w:bottom w:val="none" w:sz="0" w:space="0" w:color="auto"/>
        <w:right w:val="none" w:sz="0" w:space="0" w:color="auto"/>
      </w:divBdr>
    </w:div>
    <w:div w:id="1365129290">
      <w:bodyDiv w:val="1"/>
      <w:marLeft w:val="0"/>
      <w:marRight w:val="0"/>
      <w:marTop w:val="0"/>
      <w:marBottom w:val="0"/>
      <w:divBdr>
        <w:top w:val="none" w:sz="0" w:space="0" w:color="auto"/>
        <w:left w:val="none" w:sz="0" w:space="0" w:color="auto"/>
        <w:bottom w:val="none" w:sz="0" w:space="0" w:color="auto"/>
        <w:right w:val="none" w:sz="0" w:space="0" w:color="auto"/>
      </w:divBdr>
    </w:div>
    <w:div w:id="1382243617">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415056981">
      <w:bodyDiv w:val="1"/>
      <w:marLeft w:val="0"/>
      <w:marRight w:val="0"/>
      <w:marTop w:val="0"/>
      <w:marBottom w:val="0"/>
      <w:divBdr>
        <w:top w:val="none" w:sz="0" w:space="0" w:color="auto"/>
        <w:left w:val="none" w:sz="0" w:space="0" w:color="auto"/>
        <w:bottom w:val="none" w:sz="0" w:space="0" w:color="auto"/>
        <w:right w:val="none" w:sz="0" w:space="0" w:color="auto"/>
      </w:divBdr>
    </w:div>
    <w:div w:id="1436823450">
      <w:bodyDiv w:val="1"/>
      <w:marLeft w:val="0"/>
      <w:marRight w:val="0"/>
      <w:marTop w:val="0"/>
      <w:marBottom w:val="0"/>
      <w:divBdr>
        <w:top w:val="none" w:sz="0" w:space="0" w:color="auto"/>
        <w:left w:val="none" w:sz="0" w:space="0" w:color="auto"/>
        <w:bottom w:val="none" w:sz="0" w:space="0" w:color="auto"/>
        <w:right w:val="none" w:sz="0" w:space="0" w:color="auto"/>
      </w:divBdr>
    </w:div>
    <w:div w:id="1440758140">
      <w:bodyDiv w:val="1"/>
      <w:marLeft w:val="0"/>
      <w:marRight w:val="0"/>
      <w:marTop w:val="0"/>
      <w:marBottom w:val="0"/>
      <w:divBdr>
        <w:top w:val="none" w:sz="0" w:space="0" w:color="auto"/>
        <w:left w:val="none" w:sz="0" w:space="0" w:color="auto"/>
        <w:bottom w:val="none" w:sz="0" w:space="0" w:color="auto"/>
        <w:right w:val="none" w:sz="0" w:space="0" w:color="auto"/>
      </w:divBdr>
    </w:div>
    <w:div w:id="1460222741">
      <w:bodyDiv w:val="1"/>
      <w:marLeft w:val="0"/>
      <w:marRight w:val="0"/>
      <w:marTop w:val="0"/>
      <w:marBottom w:val="0"/>
      <w:divBdr>
        <w:top w:val="none" w:sz="0" w:space="0" w:color="auto"/>
        <w:left w:val="none" w:sz="0" w:space="0" w:color="auto"/>
        <w:bottom w:val="none" w:sz="0" w:space="0" w:color="auto"/>
        <w:right w:val="none" w:sz="0" w:space="0" w:color="auto"/>
      </w:divBdr>
    </w:div>
    <w:div w:id="1474785358">
      <w:bodyDiv w:val="1"/>
      <w:marLeft w:val="0"/>
      <w:marRight w:val="0"/>
      <w:marTop w:val="0"/>
      <w:marBottom w:val="0"/>
      <w:divBdr>
        <w:top w:val="none" w:sz="0" w:space="0" w:color="auto"/>
        <w:left w:val="none" w:sz="0" w:space="0" w:color="auto"/>
        <w:bottom w:val="none" w:sz="0" w:space="0" w:color="auto"/>
        <w:right w:val="none" w:sz="0" w:space="0" w:color="auto"/>
      </w:divBdr>
    </w:div>
    <w:div w:id="1497453927">
      <w:bodyDiv w:val="1"/>
      <w:marLeft w:val="0"/>
      <w:marRight w:val="0"/>
      <w:marTop w:val="0"/>
      <w:marBottom w:val="0"/>
      <w:divBdr>
        <w:top w:val="none" w:sz="0" w:space="0" w:color="auto"/>
        <w:left w:val="none" w:sz="0" w:space="0" w:color="auto"/>
        <w:bottom w:val="none" w:sz="0" w:space="0" w:color="auto"/>
        <w:right w:val="none" w:sz="0" w:space="0" w:color="auto"/>
      </w:divBdr>
    </w:div>
    <w:div w:id="1538421749">
      <w:bodyDiv w:val="1"/>
      <w:marLeft w:val="0"/>
      <w:marRight w:val="0"/>
      <w:marTop w:val="0"/>
      <w:marBottom w:val="0"/>
      <w:divBdr>
        <w:top w:val="none" w:sz="0" w:space="0" w:color="auto"/>
        <w:left w:val="none" w:sz="0" w:space="0" w:color="auto"/>
        <w:bottom w:val="none" w:sz="0" w:space="0" w:color="auto"/>
        <w:right w:val="none" w:sz="0" w:space="0" w:color="auto"/>
      </w:divBdr>
    </w:div>
    <w:div w:id="1565022327">
      <w:bodyDiv w:val="1"/>
      <w:marLeft w:val="0"/>
      <w:marRight w:val="0"/>
      <w:marTop w:val="0"/>
      <w:marBottom w:val="0"/>
      <w:divBdr>
        <w:top w:val="none" w:sz="0" w:space="0" w:color="auto"/>
        <w:left w:val="none" w:sz="0" w:space="0" w:color="auto"/>
        <w:bottom w:val="none" w:sz="0" w:space="0" w:color="auto"/>
        <w:right w:val="none" w:sz="0" w:space="0" w:color="auto"/>
      </w:divBdr>
    </w:div>
    <w:div w:id="1591039815">
      <w:bodyDiv w:val="1"/>
      <w:marLeft w:val="0"/>
      <w:marRight w:val="0"/>
      <w:marTop w:val="0"/>
      <w:marBottom w:val="0"/>
      <w:divBdr>
        <w:top w:val="none" w:sz="0" w:space="0" w:color="auto"/>
        <w:left w:val="none" w:sz="0" w:space="0" w:color="auto"/>
        <w:bottom w:val="none" w:sz="0" w:space="0" w:color="auto"/>
        <w:right w:val="none" w:sz="0" w:space="0" w:color="auto"/>
      </w:divBdr>
    </w:div>
    <w:div w:id="1619410292">
      <w:bodyDiv w:val="1"/>
      <w:marLeft w:val="0"/>
      <w:marRight w:val="0"/>
      <w:marTop w:val="0"/>
      <w:marBottom w:val="0"/>
      <w:divBdr>
        <w:top w:val="none" w:sz="0" w:space="0" w:color="auto"/>
        <w:left w:val="none" w:sz="0" w:space="0" w:color="auto"/>
        <w:bottom w:val="none" w:sz="0" w:space="0" w:color="auto"/>
        <w:right w:val="none" w:sz="0" w:space="0" w:color="auto"/>
      </w:divBdr>
    </w:div>
    <w:div w:id="1689745912">
      <w:bodyDiv w:val="1"/>
      <w:marLeft w:val="0"/>
      <w:marRight w:val="0"/>
      <w:marTop w:val="0"/>
      <w:marBottom w:val="0"/>
      <w:divBdr>
        <w:top w:val="none" w:sz="0" w:space="0" w:color="auto"/>
        <w:left w:val="none" w:sz="0" w:space="0" w:color="auto"/>
        <w:bottom w:val="none" w:sz="0" w:space="0" w:color="auto"/>
        <w:right w:val="none" w:sz="0" w:space="0" w:color="auto"/>
      </w:divBdr>
    </w:div>
    <w:div w:id="1692491959">
      <w:bodyDiv w:val="1"/>
      <w:marLeft w:val="0"/>
      <w:marRight w:val="0"/>
      <w:marTop w:val="0"/>
      <w:marBottom w:val="0"/>
      <w:divBdr>
        <w:top w:val="none" w:sz="0" w:space="0" w:color="auto"/>
        <w:left w:val="none" w:sz="0" w:space="0" w:color="auto"/>
        <w:bottom w:val="none" w:sz="0" w:space="0" w:color="auto"/>
        <w:right w:val="none" w:sz="0" w:space="0" w:color="auto"/>
      </w:divBdr>
    </w:div>
    <w:div w:id="1695619981">
      <w:bodyDiv w:val="1"/>
      <w:marLeft w:val="0"/>
      <w:marRight w:val="0"/>
      <w:marTop w:val="0"/>
      <w:marBottom w:val="0"/>
      <w:divBdr>
        <w:top w:val="none" w:sz="0" w:space="0" w:color="auto"/>
        <w:left w:val="none" w:sz="0" w:space="0" w:color="auto"/>
        <w:bottom w:val="none" w:sz="0" w:space="0" w:color="auto"/>
        <w:right w:val="none" w:sz="0" w:space="0" w:color="auto"/>
      </w:divBdr>
    </w:div>
    <w:div w:id="1716929395">
      <w:bodyDiv w:val="1"/>
      <w:marLeft w:val="0"/>
      <w:marRight w:val="0"/>
      <w:marTop w:val="0"/>
      <w:marBottom w:val="0"/>
      <w:divBdr>
        <w:top w:val="none" w:sz="0" w:space="0" w:color="auto"/>
        <w:left w:val="none" w:sz="0" w:space="0" w:color="auto"/>
        <w:bottom w:val="none" w:sz="0" w:space="0" w:color="auto"/>
        <w:right w:val="none" w:sz="0" w:space="0" w:color="auto"/>
      </w:divBdr>
    </w:div>
    <w:div w:id="1742293236">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779250156">
      <w:bodyDiv w:val="1"/>
      <w:marLeft w:val="0"/>
      <w:marRight w:val="0"/>
      <w:marTop w:val="0"/>
      <w:marBottom w:val="0"/>
      <w:divBdr>
        <w:top w:val="none" w:sz="0" w:space="0" w:color="auto"/>
        <w:left w:val="none" w:sz="0" w:space="0" w:color="auto"/>
        <w:bottom w:val="none" w:sz="0" w:space="0" w:color="auto"/>
        <w:right w:val="none" w:sz="0" w:space="0" w:color="auto"/>
      </w:divBdr>
    </w:div>
    <w:div w:id="1784959717">
      <w:bodyDiv w:val="1"/>
      <w:marLeft w:val="0"/>
      <w:marRight w:val="0"/>
      <w:marTop w:val="0"/>
      <w:marBottom w:val="0"/>
      <w:divBdr>
        <w:top w:val="none" w:sz="0" w:space="0" w:color="auto"/>
        <w:left w:val="none" w:sz="0" w:space="0" w:color="auto"/>
        <w:bottom w:val="none" w:sz="0" w:space="0" w:color="auto"/>
        <w:right w:val="none" w:sz="0" w:space="0" w:color="auto"/>
      </w:divBdr>
    </w:div>
    <w:div w:id="1795250175">
      <w:bodyDiv w:val="1"/>
      <w:marLeft w:val="0"/>
      <w:marRight w:val="0"/>
      <w:marTop w:val="0"/>
      <w:marBottom w:val="0"/>
      <w:divBdr>
        <w:top w:val="none" w:sz="0" w:space="0" w:color="auto"/>
        <w:left w:val="none" w:sz="0" w:space="0" w:color="auto"/>
        <w:bottom w:val="none" w:sz="0" w:space="0" w:color="auto"/>
        <w:right w:val="none" w:sz="0" w:space="0" w:color="auto"/>
      </w:divBdr>
    </w:div>
    <w:div w:id="1801609531">
      <w:bodyDiv w:val="1"/>
      <w:marLeft w:val="0"/>
      <w:marRight w:val="0"/>
      <w:marTop w:val="0"/>
      <w:marBottom w:val="0"/>
      <w:divBdr>
        <w:top w:val="none" w:sz="0" w:space="0" w:color="auto"/>
        <w:left w:val="none" w:sz="0" w:space="0" w:color="auto"/>
        <w:bottom w:val="none" w:sz="0" w:space="0" w:color="auto"/>
        <w:right w:val="none" w:sz="0" w:space="0" w:color="auto"/>
      </w:divBdr>
    </w:div>
    <w:div w:id="1817338148">
      <w:bodyDiv w:val="1"/>
      <w:marLeft w:val="0"/>
      <w:marRight w:val="0"/>
      <w:marTop w:val="0"/>
      <w:marBottom w:val="0"/>
      <w:divBdr>
        <w:top w:val="none" w:sz="0" w:space="0" w:color="auto"/>
        <w:left w:val="none" w:sz="0" w:space="0" w:color="auto"/>
        <w:bottom w:val="none" w:sz="0" w:space="0" w:color="auto"/>
        <w:right w:val="none" w:sz="0" w:space="0" w:color="auto"/>
      </w:divBdr>
    </w:div>
    <w:div w:id="1838111034">
      <w:bodyDiv w:val="1"/>
      <w:marLeft w:val="0"/>
      <w:marRight w:val="0"/>
      <w:marTop w:val="0"/>
      <w:marBottom w:val="0"/>
      <w:divBdr>
        <w:top w:val="none" w:sz="0" w:space="0" w:color="auto"/>
        <w:left w:val="none" w:sz="0" w:space="0" w:color="auto"/>
        <w:bottom w:val="none" w:sz="0" w:space="0" w:color="auto"/>
        <w:right w:val="none" w:sz="0" w:space="0" w:color="auto"/>
      </w:divBdr>
    </w:div>
    <w:div w:id="1843007035">
      <w:bodyDiv w:val="1"/>
      <w:marLeft w:val="0"/>
      <w:marRight w:val="0"/>
      <w:marTop w:val="0"/>
      <w:marBottom w:val="0"/>
      <w:divBdr>
        <w:top w:val="none" w:sz="0" w:space="0" w:color="auto"/>
        <w:left w:val="none" w:sz="0" w:space="0" w:color="auto"/>
        <w:bottom w:val="none" w:sz="0" w:space="0" w:color="auto"/>
        <w:right w:val="none" w:sz="0" w:space="0" w:color="auto"/>
      </w:divBdr>
    </w:div>
    <w:div w:id="1849054527">
      <w:bodyDiv w:val="1"/>
      <w:marLeft w:val="0"/>
      <w:marRight w:val="0"/>
      <w:marTop w:val="0"/>
      <w:marBottom w:val="0"/>
      <w:divBdr>
        <w:top w:val="none" w:sz="0" w:space="0" w:color="auto"/>
        <w:left w:val="none" w:sz="0" w:space="0" w:color="auto"/>
        <w:bottom w:val="none" w:sz="0" w:space="0" w:color="auto"/>
        <w:right w:val="none" w:sz="0" w:space="0" w:color="auto"/>
      </w:divBdr>
    </w:div>
    <w:div w:id="1871069854">
      <w:bodyDiv w:val="1"/>
      <w:marLeft w:val="0"/>
      <w:marRight w:val="0"/>
      <w:marTop w:val="0"/>
      <w:marBottom w:val="0"/>
      <w:divBdr>
        <w:top w:val="none" w:sz="0" w:space="0" w:color="auto"/>
        <w:left w:val="none" w:sz="0" w:space="0" w:color="auto"/>
        <w:bottom w:val="none" w:sz="0" w:space="0" w:color="auto"/>
        <w:right w:val="none" w:sz="0" w:space="0" w:color="auto"/>
      </w:divBdr>
    </w:div>
    <w:div w:id="1874228041">
      <w:bodyDiv w:val="1"/>
      <w:marLeft w:val="0"/>
      <w:marRight w:val="0"/>
      <w:marTop w:val="0"/>
      <w:marBottom w:val="0"/>
      <w:divBdr>
        <w:top w:val="none" w:sz="0" w:space="0" w:color="auto"/>
        <w:left w:val="none" w:sz="0" w:space="0" w:color="auto"/>
        <w:bottom w:val="none" w:sz="0" w:space="0" w:color="auto"/>
        <w:right w:val="none" w:sz="0" w:space="0" w:color="auto"/>
      </w:divBdr>
    </w:div>
    <w:div w:id="1899584114">
      <w:bodyDiv w:val="1"/>
      <w:marLeft w:val="0"/>
      <w:marRight w:val="0"/>
      <w:marTop w:val="0"/>
      <w:marBottom w:val="0"/>
      <w:divBdr>
        <w:top w:val="none" w:sz="0" w:space="0" w:color="auto"/>
        <w:left w:val="none" w:sz="0" w:space="0" w:color="auto"/>
        <w:bottom w:val="none" w:sz="0" w:space="0" w:color="auto"/>
        <w:right w:val="none" w:sz="0" w:space="0" w:color="auto"/>
      </w:divBdr>
    </w:div>
    <w:div w:id="1901859870">
      <w:bodyDiv w:val="1"/>
      <w:marLeft w:val="0"/>
      <w:marRight w:val="0"/>
      <w:marTop w:val="0"/>
      <w:marBottom w:val="0"/>
      <w:divBdr>
        <w:top w:val="none" w:sz="0" w:space="0" w:color="auto"/>
        <w:left w:val="none" w:sz="0" w:space="0" w:color="auto"/>
        <w:bottom w:val="none" w:sz="0" w:space="0" w:color="auto"/>
        <w:right w:val="none" w:sz="0" w:space="0" w:color="auto"/>
      </w:divBdr>
    </w:div>
    <w:div w:id="1934783433">
      <w:bodyDiv w:val="1"/>
      <w:marLeft w:val="0"/>
      <w:marRight w:val="0"/>
      <w:marTop w:val="0"/>
      <w:marBottom w:val="0"/>
      <w:divBdr>
        <w:top w:val="none" w:sz="0" w:space="0" w:color="auto"/>
        <w:left w:val="none" w:sz="0" w:space="0" w:color="auto"/>
        <w:bottom w:val="none" w:sz="0" w:space="0" w:color="auto"/>
        <w:right w:val="none" w:sz="0" w:space="0" w:color="auto"/>
      </w:divBdr>
    </w:div>
    <w:div w:id="1971158119">
      <w:bodyDiv w:val="1"/>
      <w:marLeft w:val="0"/>
      <w:marRight w:val="0"/>
      <w:marTop w:val="0"/>
      <w:marBottom w:val="0"/>
      <w:divBdr>
        <w:top w:val="none" w:sz="0" w:space="0" w:color="auto"/>
        <w:left w:val="none" w:sz="0" w:space="0" w:color="auto"/>
        <w:bottom w:val="none" w:sz="0" w:space="0" w:color="auto"/>
        <w:right w:val="none" w:sz="0" w:space="0" w:color="auto"/>
      </w:divBdr>
      <w:divsChild>
        <w:div w:id="313342185">
          <w:marLeft w:val="0"/>
          <w:marRight w:val="0"/>
          <w:marTop w:val="0"/>
          <w:marBottom w:val="0"/>
          <w:divBdr>
            <w:top w:val="none" w:sz="0" w:space="0" w:color="auto"/>
            <w:left w:val="none" w:sz="0" w:space="0" w:color="auto"/>
            <w:bottom w:val="none" w:sz="0" w:space="0" w:color="auto"/>
            <w:right w:val="none" w:sz="0" w:space="0" w:color="auto"/>
          </w:divBdr>
        </w:div>
        <w:div w:id="858278026">
          <w:marLeft w:val="0"/>
          <w:marRight w:val="0"/>
          <w:marTop w:val="0"/>
          <w:marBottom w:val="0"/>
          <w:divBdr>
            <w:top w:val="none" w:sz="0" w:space="0" w:color="auto"/>
            <w:left w:val="none" w:sz="0" w:space="0" w:color="auto"/>
            <w:bottom w:val="none" w:sz="0" w:space="0" w:color="auto"/>
            <w:right w:val="none" w:sz="0" w:space="0" w:color="auto"/>
          </w:divBdr>
        </w:div>
      </w:divsChild>
    </w:div>
    <w:div w:id="1972324571">
      <w:bodyDiv w:val="1"/>
      <w:marLeft w:val="0"/>
      <w:marRight w:val="0"/>
      <w:marTop w:val="0"/>
      <w:marBottom w:val="0"/>
      <w:divBdr>
        <w:top w:val="none" w:sz="0" w:space="0" w:color="auto"/>
        <w:left w:val="none" w:sz="0" w:space="0" w:color="auto"/>
        <w:bottom w:val="none" w:sz="0" w:space="0" w:color="auto"/>
        <w:right w:val="none" w:sz="0" w:space="0" w:color="auto"/>
      </w:divBdr>
    </w:div>
    <w:div w:id="1983463351">
      <w:bodyDiv w:val="1"/>
      <w:marLeft w:val="0"/>
      <w:marRight w:val="0"/>
      <w:marTop w:val="0"/>
      <w:marBottom w:val="0"/>
      <w:divBdr>
        <w:top w:val="none" w:sz="0" w:space="0" w:color="auto"/>
        <w:left w:val="none" w:sz="0" w:space="0" w:color="auto"/>
        <w:bottom w:val="none" w:sz="0" w:space="0" w:color="auto"/>
        <w:right w:val="none" w:sz="0" w:space="0" w:color="auto"/>
      </w:divBdr>
    </w:div>
    <w:div w:id="2007591247">
      <w:bodyDiv w:val="1"/>
      <w:marLeft w:val="0"/>
      <w:marRight w:val="0"/>
      <w:marTop w:val="0"/>
      <w:marBottom w:val="0"/>
      <w:divBdr>
        <w:top w:val="none" w:sz="0" w:space="0" w:color="auto"/>
        <w:left w:val="none" w:sz="0" w:space="0" w:color="auto"/>
        <w:bottom w:val="none" w:sz="0" w:space="0" w:color="auto"/>
        <w:right w:val="none" w:sz="0" w:space="0" w:color="auto"/>
      </w:divBdr>
    </w:div>
    <w:div w:id="2011985055">
      <w:bodyDiv w:val="1"/>
      <w:marLeft w:val="0"/>
      <w:marRight w:val="0"/>
      <w:marTop w:val="0"/>
      <w:marBottom w:val="0"/>
      <w:divBdr>
        <w:top w:val="none" w:sz="0" w:space="0" w:color="auto"/>
        <w:left w:val="none" w:sz="0" w:space="0" w:color="auto"/>
        <w:bottom w:val="none" w:sz="0" w:space="0" w:color="auto"/>
        <w:right w:val="none" w:sz="0" w:space="0" w:color="auto"/>
      </w:divBdr>
      <w:divsChild>
        <w:div w:id="2069306035">
          <w:marLeft w:val="0"/>
          <w:marRight w:val="0"/>
          <w:marTop w:val="0"/>
          <w:marBottom w:val="0"/>
          <w:divBdr>
            <w:top w:val="none" w:sz="0" w:space="0" w:color="auto"/>
            <w:left w:val="none" w:sz="0" w:space="0" w:color="auto"/>
            <w:bottom w:val="none" w:sz="0" w:space="0" w:color="auto"/>
            <w:right w:val="none" w:sz="0" w:space="0" w:color="auto"/>
          </w:divBdr>
        </w:div>
        <w:div w:id="161285884">
          <w:marLeft w:val="0"/>
          <w:marRight w:val="0"/>
          <w:marTop w:val="0"/>
          <w:marBottom w:val="0"/>
          <w:divBdr>
            <w:top w:val="none" w:sz="0" w:space="0" w:color="auto"/>
            <w:left w:val="none" w:sz="0" w:space="0" w:color="auto"/>
            <w:bottom w:val="none" w:sz="0" w:space="0" w:color="auto"/>
            <w:right w:val="none" w:sz="0" w:space="0" w:color="auto"/>
          </w:divBdr>
        </w:div>
      </w:divsChild>
    </w:div>
    <w:div w:id="2017658237">
      <w:bodyDiv w:val="1"/>
      <w:marLeft w:val="0"/>
      <w:marRight w:val="0"/>
      <w:marTop w:val="0"/>
      <w:marBottom w:val="0"/>
      <w:divBdr>
        <w:top w:val="none" w:sz="0" w:space="0" w:color="auto"/>
        <w:left w:val="none" w:sz="0" w:space="0" w:color="auto"/>
        <w:bottom w:val="none" w:sz="0" w:space="0" w:color="auto"/>
        <w:right w:val="none" w:sz="0" w:space="0" w:color="auto"/>
      </w:divBdr>
    </w:div>
    <w:div w:id="2024742466">
      <w:bodyDiv w:val="1"/>
      <w:marLeft w:val="0"/>
      <w:marRight w:val="0"/>
      <w:marTop w:val="0"/>
      <w:marBottom w:val="0"/>
      <w:divBdr>
        <w:top w:val="none" w:sz="0" w:space="0" w:color="auto"/>
        <w:left w:val="none" w:sz="0" w:space="0" w:color="auto"/>
        <w:bottom w:val="none" w:sz="0" w:space="0" w:color="auto"/>
        <w:right w:val="none" w:sz="0" w:space="0" w:color="auto"/>
      </w:divBdr>
    </w:div>
    <w:div w:id="2052266227">
      <w:bodyDiv w:val="1"/>
      <w:marLeft w:val="0"/>
      <w:marRight w:val="0"/>
      <w:marTop w:val="0"/>
      <w:marBottom w:val="0"/>
      <w:divBdr>
        <w:top w:val="none" w:sz="0" w:space="0" w:color="auto"/>
        <w:left w:val="none" w:sz="0" w:space="0" w:color="auto"/>
        <w:bottom w:val="none" w:sz="0" w:space="0" w:color="auto"/>
        <w:right w:val="none" w:sz="0" w:space="0" w:color="auto"/>
      </w:divBdr>
    </w:div>
    <w:div w:id="2059353148">
      <w:bodyDiv w:val="1"/>
      <w:marLeft w:val="0"/>
      <w:marRight w:val="0"/>
      <w:marTop w:val="0"/>
      <w:marBottom w:val="0"/>
      <w:divBdr>
        <w:top w:val="none" w:sz="0" w:space="0" w:color="auto"/>
        <w:left w:val="none" w:sz="0" w:space="0" w:color="auto"/>
        <w:bottom w:val="none" w:sz="0" w:space="0" w:color="auto"/>
        <w:right w:val="none" w:sz="0" w:space="0" w:color="auto"/>
      </w:divBdr>
    </w:div>
    <w:div w:id="2075935016">
      <w:bodyDiv w:val="1"/>
      <w:marLeft w:val="0"/>
      <w:marRight w:val="0"/>
      <w:marTop w:val="0"/>
      <w:marBottom w:val="0"/>
      <w:divBdr>
        <w:top w:val="none" w:sz="0" w:space="0" w:color="auto"/>
        <w:left w:val="none" w:sz="0" w:space="0" w:color="auto"/>
        <w:bottom w:val="none" w:sz="0" w:space="0" w:color="auto"/>
        <w:right w:val="none" w:sz="0" w:space="0" w:color="auto"/>
      </w:divBdr>
    </w:div>
    <w:div w:id="2106800424">
      <w:bodyDiv w:val="1"/>
      <w:marLeft w:val="0"/>
      <w:marRight w:val="0"/>
      <w:marTop w:val="0"/>
      <w:marBottom w:val="0"/>
      <w:divBdr>
        <w:top w:val="none" w:sz="0" w:space="0" w:color="auto"/>
        <w:left w:val="none" w:sz="0" w:space="0" w:color="auto"/>
        <w:bottom w:val="none" w:sz="0" w:space="0" w:color="auto"/>
        <w:right w:val="none" w:sz="0" w:space="0" w:color="auto"/>
      </w:divBdr>
    </w:div>
    <w:div w:id="21238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ctl00$PlaceHolderMain$dgReports$ctl00$ctl02$ctl00$ctl04','')" TargetMode="External"/><Relationship Id="rId18" Type="http://schemas.openxmlformats.org/officeDocument/2006/relationships/hyperlink" Target="http://mohud.gov.sy/?page=category&amp;category_id=3&amp;lang=en" TargetMode="External"/><Relationship Id="rId26" Type="http://schemas.openxmlformats.org/officeDocument/2006/relationships/hyperlink" Target="https://undg.org/home/country-teams/arab-states/syrian-arab-republic/" TargetMode="External"/><Relationship Id="rId3" Type="http://schemas.openxmlformats.org/officeDocument/2006/relationships/styles" Target="styles.xml"/><Relationship Id="rId21" Type="http://schemas.openxmlformats.org/officeDocument/2006/relationships/hyperlink" Target="http://indicators.ohchr.org/"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3','')" TargetMode="External"/><Relationship Id="rId17" Type="http://schemas.openxmlformats.org/officeDocument/2006/relationships/hyperlink" Target="http://www.un.org/press/en/2015/sc12171.doc.htm" TargetMode="External"/><Relationship Id="rId25" Type="http://schemas.openxmlformats.org/officeDocument/2006/relationships/hyperlink" Target="http://unhabitat.org/syria/" TargetMode="External"/><Relationship Id="rId2" Type="http://schemas.openxmlformats.org/officeDocument/2006/relationships/numbering" Target="numbering.xml"/><Relationship Id="rId16" Type="http://schemas.openxmlformats.org/officeDocument/2006/relationships/hyperlink" Target="http://www.ilo.org/wcmsp5/groups/public/---ed_protect/---protrav/---ilo_aids/documents/legaldocument/wcms_125885.pdf" TargetMode="External"/><Relationship Id="rId20" Type="http://schemas.openxmlformats.org/officeDocument/2006/relationships/hyperlink" Target="http://mohud.gov.sy/?page=category&amp;category_id=3&amp;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ohchr.org/EN/HRBodies/UPR/Pages/SYSession12.aspx" TargetMode="External"/><Relationship Id="rId5" Type="http://schemas.openxmlformats.org/officeDocument/2006/relationships/settings" Target="settings.xml"/><Relationship Id="rId15" Type="http://schemas.openxmlformats.org/officeDocument/2006/relationships/hyperlink" Target="javascript:__doPostBack('ctl00$PlaceHolderMain$dgReports$ctl00$ctl02$ctl00$ctl06','')" TargetMode="External"/><Relationship Id="rId23" Type="http://schemas.openxmlformats.org/officeDocument/2006/relationships/hyperlink" Target="http://www.ohchr.org/EN/HRBodies/UPR/Pages/SYSession12.aspx"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g.org/home/country-teams/arab-states/syrian-arab-republi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avascript:__doPostBack('ctl00$PlaceHolderMain$dgReports$ctl00$ctl02$ctl00$ctl05','')" TargetMode="External"/><Relationship Id="rId22" Type="http://schemas.openxmlformats.org/officeDocument/2006/relationships/hyperlink" Target="http://www.ohchr.org/EN/HRBodies/UPR/Pages/SYSession12.asp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UPR/Pages/SYSession12.aspx" TargetMode="External"/><Relationship Id="rId3" Type="http://schemas.openxmlformats.org/officeDocument/2006/relationships/hyperlink" Target="http://mirror.unhabitat.org/pmss/getElectronicVersion.aspx?nr=3546&amp;alt=1" TargetMode="External"/><Relationship Id="rId7" Type="http://schemas.openxmlformats.org/officeDocument/2006/relationships/hyperlink" Target="http://www.ohchr.org/EN/HRBodies/UPR/Pages/SYSession12.aspx" TargetMode="External"/><Relationship Id="rId2" Type="http://schemas.openxmlformats.org/officeDocument/2006/relationships/hyperlink" Target="http://mirror.unhabitat.org/pmss/getElectronicVersion.aspx?nr=3546&amp;alt=1" TargetMode="External"/><Relationship Id="rId1" Type="http://schemas.openxmlformats.org/officeDocument/2006/relationships/hyperlink" Target="http://www.ilo.org/wcmsp5/groups/public/---ed_protect/---protrav/---ilo_aids/documents/legaldocument/wcms_125885.pdf" TargetMode="External"/><Relationship Id="rId6" Type="http://schemas.openxmlformats.org/officeDocument/2006/relationships/hyperlink" Target="http://www.ohchr.org/EN/HRBodies/UPR/Pages/Documentation.aspx" TargetMode="External"/><Relationship Id="rId11" Type="http://schemas.openxmlformats.org/officeDocument/2006/relationships/hyperlink" Target="http://mirror.unhabitat.org/pmss/getElectronicVersion.aspx?nr=3546&amp;alt=1" TargetMode="External"/><Relationship Id="rId5" Type="http://schemas.openxmlformats.org/officeDocument/2006/relationships/hyperlink" Target="http://tbinternet.ohchr.org/_layouts/TreatyBodyExternal/Treaty.aspx?CountryID=1&amp;Lang=EN" TargetMode="External"/><Relationship Id="rId10" Type="http://schemas.openxmlformats.org/officeDocument/2006/relationships/hyperlink" Target="http://unhabitat.org/syria/" TargetMode="External"/><Relationship Id="rId4" Type="http://schemas.openxmlformats.org/officeDocument/2006/relationships/hyperlink" Target="http://mohud.gov.sy/?page=category&amp;category_id=3&amp;lang=en" TargetMode="External"/><Relationship Id="rId9" Type="http://schemas.openxmlformats.org/officeDocument/2006/relationships/hyperlink" Target="https://undg.org/home/country-teams/arab-states/syrian-arab-re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E9AAF5F5-CDCD-4D9D-9007-365A4669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4</cp:revision>
  <cp:lastPrinted>2015-12-02T11:10:00Z</cp:lastPrinted>
  <dcterms:created xsi:type="dcterms:W3CDTF">2016-06-26T17:21:00Z</dcterms:created>
  <dcterms:modified xsi:type="dcterms:W3CDTF">2016-06-26T17:24:00Z</dcterms:modified>
</cp:coreProperties>
</file>