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A5" w:rsidRPr="004C67A5" w:rsidRDefault="00450BA4" w:rsidP="004C67A5">
      <w:pPr>
        <w:jc w:val="center"/>
        <w:rPr>
          <w:b/>
          <w:sz w:val="48"/>
        </w:rPr>
      </w:pPr>
      <w:r>
        <w:rPr>
          <w:b/>
          <w:sz w:val="48"/>
        </w:rPr>
        <w:t>Mauritius</w:t>
      </w:r>
      <w:r w:rsidR="001A78AB">
        <w:rPr>
          <w:b/>
          <w:sz w:val="48"/>
        </w:rPr>
        <w:t xml:space="preserve"> </w:t>
      </w:r>
      <w:r w:rsidR="00AE0E37">
        <w:rPr>
          <w:b/>
          <w:sz w:val="48"/>
        </w:rPr>
        <w:t xml:space="preserve">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953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pPr>
            <w:r w:rsidRPr="00F21E13">
              <w:t>Chapter</w:t>
            </w:r>
          </w:p>
        </w:tc>
        <w:tc>
          <w:tcPr>
            <w:tcW w:w="864" w:type="dxa"/>
            <w:vAlign w:val="center"/>
          </w:tcPr>
          <w:p w:rsidR="00C36F99" w:rsidRPr="00F21E13" w:rsidRDefault="00C36F99" w:rsidP="0095370C">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Summary</w:t>
            </w:r>
          </w:p>
        </w:tc>
        <w:tc>
          <w:tcPr>
            <w:tcW w:w="864" w:type="dxa"/>
            <w:vAlign w:val="center"/>
          </w:tcPr>
          <w:p w:rsidR="00C36F99" w:rsidRPr="00F21E13" w:rsidRDefault="00536263" w:rsidP="0095370C">
            <w:pPr>
              <w:jc w:val="both"/>
              <w:cnfStyle w:val="000000100000" w:firstRow="0" w:lastRow="0" w:firstColumn="0" w:lastColumn="0" w:oddVBand="0" w:evenVBand="0" w:oddHBand="1" w:evenHBand="0" w:firstRowFirstColumn="0" w:firstRowLastColumn="0" w:lastRowFirstColumn="0" w:lastRowLastColumn="0"/>
            </w:pPr>
            <w:r>
              <w:t>2</w:t>
            </w:r>
          </w:p>
        </w:tc>
      </w:tr>
      <w:tr w:rsidR="00C36F99" w:rsidRPr="00F21E13" w:rsidTr="0095370C">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National Legal Framework relating to Human Rights in Urban Contexts</w:t>
            </w:r>
          </w:p>
        </w:tc>
        <w:tc>
          <w:tcPr>
            <w:tcW w:w="864" w:type="dxa"/>
            <w:vAlign w:val="center"/>
          </w:tcPr>
          <w:p w:rsidR="00C36F99" w:rsidRPr="00F21E13" w:rsidRDefault="00536263" w:rsidP="0095370C">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Government Structures and Institutional Setup</w:t>
            </w:r>
          </w:p>
        </w:tc>
        <w:tc>
          <w:tcPr>
            <w:tcW w:w="864" w:type="dxa"/>
            <w:vAlign w:val="center"/>
          </w:tcPr>
          <w:p w:rsidR="00C36F99" w:rsidRPr="00F21E13" w:rsidRDefault="00536263" w:rsidP="0095370C">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95370C">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International Conventions</w:t>
            </w:r>
          </w:p>
        </w:tc>
        <w:tc>
          <w:tcPr>
            <w:tcW w:w="864" w:type="dxa"/>
            <w:vAlign w:val="center"/>
          </w:tcPr>
          <w:p w:rsidR="00C36F99" w:rsidRPr="00F21E13" w:rsidRDefault="00684E92" w:rsidP="0095370C">
            <w:pPr>
              <w:jc w:val="both"/>
              <w:cnfStyle w:val="000000000000" w:firstRow="0" w:lastRow="0" w:firstColumn="0" w:lastColumn="0" w:oddVBand="0" w:evenVBand="0" w:oddHBand="0" w:evenHBand="0" w:firstRowFirstColumn="0" w:firstRowLastColumn="0" w:lastRowFirstColumn="0" w:lastRowLastColumn="0"/>
            </w:pPr>
            <w:r>
              <w:t>4</w:t>
            </w:r>
          </w:p>
        </w:tc>
      </w:tr>
      <w:tr w:rsidR="00C36F99" w:rsidRPr="00F21E13"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684E92" w:rsidP="0095370C">
            <w:pPr>
              <w:jc w:val="both"/>
              <w:cnfStyle w:val="000000100000" w:firstRow="0" w:lastRow="0" w:firstColumn="0" w:lastColumn="0" w:oddVBand="0" w:evenVBand="0" w:oddHBand="1" w:evenHBand="0" w:firstRowFirstColumn="0" w:firstRowLastColumn="0" w:lastRowFirstColumn="0" w:lastRowLastColumn="0"/>
            </w:pPr>
            <w:r>
              <w:t>5</w:t>
            </w:r>
          </w:p>
        </w:tc>
      </w:tr>
      <w:tr w:rsidR="00C36F99" w:rsidRPr="00F21E13" w:rsidTr="0095370C">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Universal Periodic Review (UPR) and Human Rights Council</w:t>
            </w:r>
          </w:p>
        </w:tc>
        <w:tc>
          <w:tcPr>
            <w:tcW w:w="864" w:type="dxa"/>
            <w:vAlign w:val="center"/>
          </w:tcPr>
          <w:p w:rsidR="00C36F99" w:rsidRPr="00F21E13" w:rsidRDefault="00684E92" w:rsidP="0095370C">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UN-Habitat Engagement at Project Level</w:t>
            </w:r>
          </w:p>
        </w:tc>
        <w:tc>
          <w:tcPr>
            <w:tcW w:w="864" w:type="dxa"/>
            <w:vAlign w:val="center"/>
          </w:tcPr>
          <w:p w:rsidR="00C36F99" w:rsidRPr="00F21E13" w:rsidRDefault="00684E92" w:rsidP="0095370C">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95370C">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95370C">
            <w:pPr>
              <w:jc w:val="both"/>
              <w:rPr>
                <w:b w:val="0"/>
              </w:rPr>
            </w:pPr>
            <w:r w:rsidRPr="00F21E13">
              <w:rPr>
                <w:b w:val="0"/>
              </w:rPr>
              <w:t>Further Information</w:t>
            </w:r>
          </w:p>
        </w:tc>
        <w:tc>
          <w:tcPr>
            <w:tcW w:w="864" w:type="dxa"/>
            <w:vAlign w:val="center"/>
          </w:tcPr>
          <w:p w:rsidR="00C36F99" w:rsidRPr="00F21E13" w:rsidRDefault="00684E92" w:rsidP="0095370C">
            <w:pPr>
              <w:jc w:val="both"/>
              <w:cnfStyle w:val="000000000000" w:firstRow="0" w:lastRow="0" w:firstColumn="0" w:lastColumn="0" w:oddVBand="0" w:evenVBand="0" w:oddHBand="0" w:evenHBand="0" w:firstRowFirstColumn="0" w:firstRowLastColumn="0" w:lastRowFirstColumn="0" w:lastRowLastColumn="0"/>
            </w:pPr>
            <w:r>
              <w:t>7</w:t>
            </w:r>
          </w:p>
        </w:tc>
      </w:tr>
    </w:tbl>
    <w:p w:rsidR="00C36F99" w:rsidRDefault="00C36F99" w:rsidP="00C36F99">
      <w:pPr>
        <w:pStyle w:val="ListParagraph"/>
        <w:rPr>
          <w:sz w:val="24"/>
          <w:szCs w:val="24"/>
        </w:rPr>
      </w:pPr>
    </w:p>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9537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95370C">
            <w:pPr>
              <w:spacing w:line="276" w:lineRule="auto"/>
              <w:jc w:val="center"/>
            </w:pPr>
            <w:r w:rsidRPr="00E70BF1">
              <w:t>Rev</w:t>
            </w:r>
            <w:r>
              <w:t>i</w:t>
            </w:r>
            <w:r w:rsidRPr="00E70BF1">
              <w:t>sion</w:t>
            </w:r>
          </w:p>
        </w:tc>
        <w:tc>
          <w:tcPr>
            <w:tcW w:w="3081" w:type="dxa"/>
          </w:tcPr>
          <w:p w:rsidR="00C36F99" w:rsidRPr="00E70BF1" w:rsidRDefault="00C36F99" w:rsidP="0095370C">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95370C">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953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95370C">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4C67A5">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4C67A5">
              <w:rPr>
                <w:i/>
              </w:rPr>
              <w:t xml:space="preserve"> -</w:t>
            </w:r>
          </w:p>
        </w:tc>
        <w:tc>
          <w:tcPr>
            <w:tcW w:w="3081" w:type="dxa"/>
          </w:tcPr>
          <w:p w:rsidR="00C36F99" w:rsidRPr="0080312B" w:rsidRDefault="00D26281" w:rsidP="0095370C">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95370C">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95370C">
            <w:pPr>
              <w:spacing w:line="276" w:lineRule="auto"/>
              <w:jc w:val="center"/>
              <w:rPr>
                <w:b w:val="0"/>
                <w:i/>
              </w:rPr>
            </w:pPr>
            <w:r>
              <w:rPr>
                <w:b w:val="0"/>
                <w:i/>
              </w:rPr>
              <w:t xml:space="preserve"> </w:t>
            </w:r>
            <w:r w:rsidR="004C67A5">
              <w:rPr>
                <w:b w:val="0"/>
                <w:i/>
              </w:rPr>
              <w:t>2</w:t>
            </w:r>
          </w:p>
        </w:tc>
        <w:tc>
          <w:tcPr>
            <w:tcW w:w="3081" w:type="dxa"/>
          </w:tcPr>
          <w:p w:rsidR="00C36F99" w:rsidRPr="000B7719" w:rsidRDefault="004C67A5" w:rsidP="00421BB5">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421BB5">
              <w:rPr>
                <w:i/>
              </w:rPr>
              <w:t>5</w:t>
            </w:r>
            <w:r>
              <w:rPr>
                <w:i/>
              </w:rPr>
              <w:t>/01/</w:t>
            </w:r>
            <w:r w:rsidR="005A6F14">
              <w:rPr>
                <w:i/>
              </w:rPr>
              <w:t>20</w:t>
            </w:r>
            <w:r>
              <w:rPr>
                <w:i/>
              </w:rPr>
              <w:t>16</w:t>
            </w:r>
            <w:r w:rsidR="00D86897">
              <w:rPr>
                <w:i/>
              </w:rPr>
              <w:t xml:space="preserve"> </w:t>
            </w:r>
          </w:p>
        </w:tc>
        <w:tc>
          <w:tcPr>
            <w:tcW w:w="3081" w:type="dxa"/>
          </w:tcPr>
          <w:p w:rsidR="00C36F99" w:rsidRPr="000B7719" w:rsidRDefault="004C67A5" w:rsidP="004C67A5">
            <w:pPr>
              <w:spacing w:line="276" w:lineRule="auto"/>
              <w:cnfStyle w:val="000000000000" w:firstRow="0" w:lastRow="0" w:firstColumn="0" w:lastColumn="0" w:oddVBand="0" w:evenVBand="0" w:oddHBand="0" w:evenHBand="0" w:firstRowFirstColumn="0" w:firstRowLastColumn="0" w:lastRowFirstColumn="0" w:lastRowLastColumn="0"/>
              <w:rPr>
                <w:i/>
              </w:rPr>
            </w:pPr>
            <w:r>
              <w:rPr>
                <w:i/>
              </w:rPr>
              <w:t xml:space="preserve">                         </w:t>
            </w:r>
            <w:r w:rsidR="00D86897">
              <w:rPr>
                <w:i/>
              </w:rPr>
              <w:t xml:space="preserve"> </w:t>
            </w:r>
            <w:r>
              <w:rPr>
                <w:i/>
              </w:rPr>
              <w:t>SN</w:t>
            </w:r>
          </w:p>
        </w:tc>
      </w:tr>
      <w:tr w:rsidR="00C36F99" w:rsidTr="00953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684E92" w:rsidRDefault="005A6F14" w:rsidP="0095370C">
            <w:pPr>
              <w:spacing w:line="276" w:lineRule="auto"/>
              <w:jc w:val="center"/>
              <w:rPr>
                <w:b w:val="0"/>
                <w:i/>
              </w:rPr>
            </w:pPr>
            <w:r>
              <w:rPr>
                <w:b w:val="0"/>
                <w:i/>
              </w:rPr>
              <w:t>3</w:t>
            </w:r>
          </w:p>
        </w:tc>
        <w:tc>
          <w:tcPr>
            <w:tcW w:w="3081" w:type="dxa"/>
          </w:tcPr>
          <w:p w:rsidR="00C36F99" w:rsidRPr="00684E92" w:rsidRDefault="005A6F14" w:rsidP="0095370C">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09/02/2016</w:t>
            </w:r>
          </w:p>
        </w:tc>
        <w:tc>
          <w:tcPr>
            <w:tcW w:w="3081" w:type="dxa"/>
          </w:tcPr>
          <w:p w:rsidR="00C36F99" w:rsidRPr="00684E92" w:rsidRDefault="005A6F14" w:rsidP="0095370C">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684E92">
              <w:rPr>
                <w:i/>
              </w:rPr>
              <w:t>SG</w:t>
            </w:r>
          </w:p>
        </w:tc>
      </w:tr>
    </w:tbl>
    <w:p w:rsidR="002E7D99" w:rsidRPr="00707A15" w:rsidRDefault="00C36F99" w:rsidP="002250DD">
      <w:pPr>
        <w:rPr>
          <w:b/>
          <w:sz w:val="32"/>
        </w:rPr>
      </w:pPr>
      <w:r>
        <w:rPr>
          <w:b/>
        </w:rPr>
        <w:br w:type="page"/>
      </w:r>
      <w:r w:rsidR="00707A15" w:rsidRPr="00707A15">
        <w:rPr>
          <w:b/>
          <w:sz w:val="32"/>
        </w:rPr>
        <w:lastRenderedPageBreak/>
        <w:t>Summary</w:t>
      </w:r>
    </w:p>
    <w:p w:rsidR="003315CC" w:rsidRDefault="003315CC" w:rsidP="003315CC">
      <w:pPr>
        <w:jc w:val="both"/>
      </w:pPr>
      <w:r>
        <w:t xml:space="preserve">Mauritius is governed by its 1968 Constitution which provides for fundamental human rights and freedoms. The Constitution </w:t>
      </w:r>
      <w:r w:rsidR="005A6F14">
        <w:t>does not mention specifically the right to adequate housing. It does however enshrine</w:t>
      </w:r>
      <w:r w:rsidR="005A6F14" w:rsidRPr="005A6F14">
        <w:t xml:space="preserve"> </w:t>
      </w:r>
      <w:r w:rsidR="005A6F14" w:rsidRPr="00637EFF">
        <w:t xml:space="preserve">the right of the individual to protection for the privacy of home </w:t>
      </w:r>
      <w:r w:rsidR="005A6F14">
        <w:t>and other property.</w:t>
      </w:r>
    </w:p>
    <w:p w:rsidR="003315CC" w:rsidRDefault="003315CC" w:rsidP="003315CC">
      <w:pPr>
        <w:jc w:val="both"/>
      </w:pPr>
      <w:r w:rsidRPr="003315CC">
        <w:t xml:space="preserve">The primary government department </w:t>
      </w:r>
      <w:r w:rsidR="00E25784">
        <w:t xml:space="preserve">with responsibilities relating to housing </w:t>
      </w:r>
      <w:r w:rsidRPr="003315CC">
        <w:t>is the Ministry of Housing and Land. The core function of the Ministry is to create adequate living conditions for the citizens of the country</w:t>
      </w:r>
      <w:r w:rsidR="00E25784">
        <w:t>, including adequate housing conditions</w:t>
      </w:r>
      <w:r w:rsidR="00327011">
        <w:t>.</w:t>
      </w:r>
    </w:p>
    <w:p w:rsidR="003315CC" w:rsidRPr="003315CC" w:rsidRDefault="005A6F14" w:rsidP="003315CC">
      <w:pPr>
        <w:jc w:val="both"/>
      </w:pPr>
      <w:r>
        <w:t xml:space="preserve">Mauritius </w:t>
      </w:r>
      <w:r w:rsidR="003315CC" w:rsidRPr="003315CC">
        <w:t>has ratified</w:t>
      </w:r>
      <w:r>
        <w:t xml:space="preserve"> many of the major</w:t>
      </w:r>
      <w:r w:rsidR="003315CC" w:rsidRPr="003315CC">
        <w:t xml:space="preserve"> international</w:t>
      </w:r>
      <w:r>
        <w:t xml:space="preserve"> human rights</w:t>
      </w:r>
      <w:r w:rsidR="003315CC" w:rsidRPr="003315CC">
        <w:t xml:space="preserve"> conventions </w:t>
      </w:r>
      <w:r>
        <w:t>including</w:t>
      </w:r>
      <w:r w:rsidR="003315CC" w:rsidRPr="003315CC">
        <w:t xml:space="preserve"> the International Covenant on Economic, Social and Cultural Rights, which </w:t>
      </w:r>
      <w:r>
        <w:t>enshrines</w:t>
      </w:r>
      <w:r w:rsidR="003315CC" w:rsidRPr="003315CC">
        <w:t xml:space="preserve"> the </w:t>
      </w:r>
      <w:r>
        <w:t>r</w:t>
      </w:r>
      <w:r w:rsidR="003315CC" w:rsidRPr="003315CC">
        <w:t xml:space="preserve">ight to </w:t>
      </w:r>
      <w:r>
        <w:t>adequate housing as a component of the right to an a</w:t>
      </w:r>
      <w:r w:rsidR="003315CC" w:rsidRPr="003315CC">
        <w:t xml:space="preserve">dequate </w:t>
      </w:r>
      <w:r>
        <w:t>s</w:t>
      </w:r>
      <w:r w:rsidR="003315CC" w:rsidRPr="003315CC">
        <w:t xml:space="preserve">tandard of </w:t>
      </w:r>
      <w:r>
        <w:t>l</w:t>
      </w:r>
      <w:r w:rsidR="003315CC" w:rsidRPr="003315CC">
        <w:t>iving.</w:t>
      </w:r>
    </w:p>
    <w:p w:rsidR="003315CC" w:rsidRPr="003315CC" w:rsidRDefault="003315CC" w:rsidP="003315CC">
      <w:pPr>
        <w:jc w:val="both"/>
      </w:pPr>
      <w:r w:rsidRPr="003315CC">
        <w:t xml:space="preserve">UN </w:t>
      </w:r>
      <w:r w:rsidR="005A6F14">
        <w:t xml:space="preserve">review mechanisms </w:t>
      </w:r>
      <w:r w:rsidRPr="003315CC">
        <w:t xml:space="preserve">have </w:t>
      </w:r>
      <w:r w:rsidR="00E25784">
        <w:rPr>
          <w:rFonts w:eastAsia="Times New Roman" w:cstheme="minorHAnsi"/>
          <w:color w:val="000000"/>
          <w:lang w:eastAsia="en-AU"/>
        </w:rPr>
        <w:t xml:space="preserve">expressed concerns over the high levels of poverty among the population. Mauritius has been recommended to continue its efforts to ensure housing and to initiate immediate and effective measures to </w:t>
      </w:r>
      <w:r w:rsidR="00E25784" w:rsidRPr="005F6B41">
        <w:rPr>
          <w:rFonts w:cstheme="minorHAnsi"/>
          <w:bCs/>
        </w:rPr>
        <w:t>combat poverty</w:t>
      </w:r>
      <w:r w:rsidR="00E25784">
        <w:rPr>
          <w:rFonts w:cstheme="minorHAnsi"/>
          <w:bCs/>
        </w:rPr>
        <w:t>,</w:t>
      </w:r>
      <w:r w:rsidR="00E25784" w:rsidRPr="005F6B41">
        <w:rPr>
          <w:rFonts w:cstheme="minorHAnsi"/>
          <w:bCs/>
        </w:rPr>
        <w:t xml:space="preserve"> and </w:t>
      </w:r>
      <w:r w:rsidR="00E25784">
        <w:rPr>
          <w:rFonts w:cstheme="minorHAnsi"/>
          <w:bCs/>
        </w:rPr>
        <w:t xml:space="preserve">to </w:t>
      </w:r>
      <w:r w:rsidR="00E25784" w:rsidRPr="005F6B41">
        <w:rPr>
          <w:rFonts w:cstheme="minorHAnsi"/>
          <w:bCs/>
        </w:rPr>
        <w:t>ensure that the population has affordable access to water supply and hygienic living conditions</w:t>
      </w:r>
      <w:r w:rsidR="00E25784">
        <w:rPr>
          <w:rFonts w:cstheme="minorHAnsi"/>
          <w:bCs/>
        </w:rPr>
        <w:t>.</w:t>
      </w:r>
      <w:r w:rsidR="00E25784">
        <w:rPr>
          <w:rFonts w:eastAsia="Times New Roman" w:cstheme="minorHAnsi"/>
          <w:color w:val="000000"/>
          <w:lang w:eastAsia="en-AU"/>
        </w:rPr>
        <w:t xml:space="preserve"> </w:t>
      </w:r>
      <w:r w:rsidRPr="003315CC">
        <w:t>UN-Habitat</w:t>
      </w:r>
      <w:r w:rsidR="005A6F14">
        <w:t xml:space="preserve">’s work </w:t>
      </w:r>
      <w:r w:rsidRPr="003315CC">
        <w:t>in the country</w:t>
      </w:r>
      <w:r w:rsidR="005A6F14">
        <w:t xml:space="preserve"> consists </w:t>
      </w:r>
      <w:r w:rsidRPr="003315CC">
        <w:t xml:space="preserve">primarily </w:t>
      </w:r>
      <w:r w:rsidR="005A6F14">
        <w:t xml:space="preserve">of the </w:t>
      </w:r>
      <w:r w:rsidRPr="003315CC">
        <w:t xml:space="preserve">production of publications of urban profiles. </w:t>
      </w: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3315CC" w:rsidRDefault="003315CC" w:rsidP="003315CC">
      <w:pPr>
        <w:jc w:val="both"/>
        <w:rPr>
          <w:b/>
        </w:rPr>
      </w:pPr>
    </w:p>
    <w:p w:rsidR="00684E92" w:rsidRDefault="00684E92">
      <w:pPr>
        <w:rPr>
          <w:b/>
          <w:sz w:val="28"/>
        </w:rPr>
      </w:pPr>
      <w:r>
        <w:rPr>
          <w:b/>
          <w:sz w:val="28"/>
        </w:rPr>
        <w:br w:type="page"/>
      </w:r>
    </w:p>
    <w:p w:rsidR="002E7D99" w:rsidRPr="003315CC" w:rsidRDefault="0080312B" w:rsidP="003315CC">
      <w:pPr>
        <w:jc w:val="both"/>
        <w:rPr>
          <w:b/>
        </w:rPr>
      </w:pPr>
      <w:r w:rsidRPr="00437199">
        <w:rPr>
          <w:b/>
          <w:sz w:val="28"/>
        </w:rPr>
        <w:lastRenderedPageBreak/>
        <w:t>Legal Framework</w:t>
      </w:r>
    </w:p>
    <w:p w:rsidR="00637EFF" w:rsidRDefault="00637EFF" w:rsidP="00637EFF">
      <w:pPr>
        <w:jc w:val="both"/>
        <w:rPr>
          <w:b/>
          <w:i/>
        </w:rPr>
      </w:pPr>
      <w:r w:rsidRPr="00637EFF">
        <w:rPr>
          <w:b/>
          <w:i/>
        </w:rPr>
        <w:t>Constitution</w:t>
      </w:r>
      <w:r w:rsidRPr="00637EFF">
        <w:rPr>
          <w:b/>
          <w:i/>
          <w:vertAlign w:val="superscript"/>
        </w:rPr>
        <w:footnoteReference w:id="1"/>
      </w:r>
    </w:p>
    <w:p w:rsidR="005A6F14" w:rsidRPr="00684E92" w:rsidRDefault="005A6F14" w:rsidP="005A6F14">
      <w:pPr>
        <w:jc w:val="both"/>
      </w:pPr>
      <w:r>
        <w:t>Mauritius is governed by its 1968 Constitution which provides for fundamental human rights and freedoms. The Constitution does not mention specifically the right to adequate housing. It does however enshrine</w:t>
      </w:r>
      <w:r w:rsidRPr="005A6F14">
        <w:t xml:space="preserve"> </w:t>
      </w:r>
      <w:r w:rsidRPr="00637EFF">
        <w:t xml:space="preserve">the right of the individual to protection for the privacy of home </w:t>
      </w:r>
      <w:r>
        <w:t xml:space="preserve">and other property. </w:t>
      </w:r>
    </w:p>
    <w:p w:rsidR="00637EFF" w:rsidRPr="00637EFF" w:rsidRDefault="00637EFF" w:rsidP="00637EFF">
      <w:pPr>
        <w:jc w:val="both"/>
        <w:rPr>
          <w:b/>
          <w:i/>
        </w:rPr>
      </w:pPr>
      <w:r>
        <w:rPr>
          <w:b/>
          <w:i/>
        </w:rPr>
        <w:t>‘</w:t>
      </w:r>
      <w:r w:rsidRPr="00637EFF">
        <w:t>Chapter 2:</w:t>
      </w:r>
      <w:r>
        <w:t xml:space="preserve"> </w:t>
      </w:r>
      <w:r w:rsidRPr="00637EFF">
        <w:t>Fundamental rights and freedoms of the individual</w:t>
      </w:r>
    </w:p>
    <w:p w:rsidR="00637EFF" w:rsidRPr="00637EFF" w:rsidRDefault="00637EFF" w:rsidP="00637EFF">
      <w:pPr>
        <w:jc w:val="both"/>
      </w:pPr>
      <w:r w:rsidRPr="00637EFF">
        <w:t>It is hereby recognised and declared that in Mauritius there have existed and shall continue to exist without discrimination by reason of race, place of origin, political opinions, colour, creed or sex, but subject to respect for the rights and freedoms of others and for the public interest, each and all of the following human rights and fundamental freedoms –</w:t>
      </w:r>
    </w:p>
    <w:p w:rsidR="00327011" w:rsidRDefault="00637EFF" w:rsidP="00327011">
      <w:pPr>
        <w:jc w:val="both"/>
      </w:pPr>
      <w:r w:rsidRPr="00637EFF">
        <w:t xml:space="preserve">c) </w:t>
      </w:r>
      <w:proofErr w:type="gramStart"/>
      <w:r w:rsidRPr="00637EFF">
        <w:t>the</w:t>
      </w:r>
      <w:proofErr w:type="gramEnd"/>
      <w:r w:rsidRPr="00637EFF">
        <w:t xml:space="preserve"> right of the individual to protection for the privacy of his home and other property and from deprivation o</w:t>
      </w:r>
      <w:r>
        <w:t>f property without compensation.’</w:t>
      </w:r>
    </w:p>
    <w:p w:rsidR="00327011" w:rsidRPr="00327011" w:rsidRDefault="00327011" w:rsidP="00327011">
      <w:pPr>
        <w:jc w:val="both"/>
        <w:rPr>
          <w:rFonts w:eastAsia="Times New Roman" w:cs="Arial"/>
          <w:sz w:val="18"/>
          <w:szCs w:val="16"/>
          <w:lang w:val="en-US"/>
        </w:rPr>
      </w:pPr>
      <w:r>
        <w:rPr>
          <w:rFonts w:eastAsia="Times New Roman" w:cs="Arial"/>
          <w:bCs/>
          <w:szCs w:val="20"/>
          <w:lang w:val="en-US"/>
        </w:rPr>
        <w:t>‘</w:t>
      </w:r>
      <w:r w:rsidRPr="00327011">
        <w:rPr>
          <w:rFonts w:eastAsia="Times New Roman" w:cs="Arial"/>
          <w:bCs/>
          <w:szCs w:val="20"/>
          <w:lang w:val="en-US"/>
        </w:rPr>
        <w:t>9.</w:t>
      </w:r>
      <w:r w:rsidRPr="00327011">
        <w:rPr>
          <w:rFonts w:eastAsia="Times New Roman" w:cs="Times New Roman"/>
          <w:bCs/>
          <w:sz w:val="16"/>
          <w:szCs w:val="14"/>
          <w:lang w:val="en-US"/>
        </w:rPr>
        <w:t xml:space="preserve"> </w:t>
      </w:r>
      <w:r w:rsidRPr="00327011">
        <w:rPr>
          <w:rFonts w:eastAsia="Times New Roman" w:cs="Arial"/>
          <w:bCs/>
          <w:szCs w:val="20"/>
          <w:lang w:val="en-US"/>
        </w:rPr>
        <w:t>Protection for privacy of home and other property</w:t>
      </w:r>
    </w:p>
    <w:p w:rsidR="00327011" w:rsidRPr="00327011" w:rsidRDefault="00327011" w:rsidP="00327011">
      <w:pPr>
        <w:spacing w:line="240" w:lineRule="auto"/>
        <w:rPr>
          <w:rFonts w:eastAsia="Times New Roman" w:cs="Arial"/>
          <w:sz w:val="18"/>
          <w:szCs w:val="16"/>
          <w:lang w:val="en-US"/>
        </w:rPr>
      </w:pPr>
      <w:r w:rsidRPr="00327011">
        <w:rPr>
          <w:rFonts w:eastAsia="Times New Roman" w:cs="Arial"/>
          <w:szCs w:val="20"/>
          <w:lang w:val="en-US"/>
        </w:rPr>
        <w:t xml:space="preserve">(1) </w:t>
      </w:r>
      <w:proofErr w:type="gramStart"/>
      <w:r w:rsidRPr="00327011">
        <w:rPr>
          <w:rFonts w:eastAsia="Times New Roman" w:cs="Arial"/>
          <w:szCs w:val="20"/>
          <w:lang w:val="en-US"/>
        </w:rPr>
        <w:t>Except</w:t>
      </w:r>
      <w:proofErr w:type="gramEnd"/>
      <w:r w:rsidRPr="00327011">
        <w:rPr>
          <w:rFonts w:eastAsia="Times New Roman" w:cs="Arial"/>
          <w:szCs w:val="20"/>
          <w:lang w:val="en-US"/>
        </w:rPr>
        <w:t xml:space="preserve"> with his own consent, no person shall be subjected to the search of his person or his property or the entry by others on his premises.</w:t>
      </w:r>
      <w:r>
        <w:rPr>
          <w:rFonts w:eastAsia="Times New Roman" w:cs="Arial"/>
          <w:szCs w:val="20"/>
          <w:lang w:val="en-US"/>
        </w:rPr>
        <w:t>’</w:t>
      </w:r>
    </w:p>
    <w:p w:rsidR="00327011" w:rsidRDefault="00327011" w:rsidP="00670A70">
      <w:pPr>
        <w:jc w:val="both"/>
      </w:pPr>
    </w:p>
    <w:p w:rsidR="002E7D99" w:rsidRPr="003315CC" w:rsidRDefault="00637EFF" w:rsidP="00670A70">
      <w:pPr>
        <w:jc w:val="both"/>
      </w:pPr>
      <w:r>
        <w:rPr>
          <w:b/>
          <w:i/>
        </w:rPr>
        <w:t xml:space="preserve"> </w:t>
      </w:r>
      <w:r w:rsidR="002E7D99" w:rsidRPr="00437199">
        <w:rPr>
          <w:b/>
          <w:sz w:val="28"/>
        </w:rPr>
        <w:t>Government</w:t>
      </w:r>
    </w:p>
    <w:p w:rsidR="00437199" w:rsidRDefault="0080312B" w:rsidP="00670A70">
      <w:pPr>
        <w:jc w:val="both"/>
        <w:rPr>
          <w:b/>
          <w:i/>
        </w:rPr>
      </w:pPr>
      <w:r w:rsidRPr="00437199">
        <w:rPr>
          <w:b/>
          <w:i/>
        </w:rPr>
        <w:t xml:space="preserve">Political System </w:t>
      </w:r>
    </w:p>
    <w:p w:rsidR="00637EFF" w:rsidRPr="00637EFF" w:rsidRDefault="00637EFF" w:rsidP="00637EFF">
      <w:pPr>
        <w:jc w:val="both"/>
      </w:pPr>
      <w:r w:rsidRPr="00637EFF">
        <w:t xml:space="preserve">Mauritius is a republic </w:t>
      </w:r>
      <w:r w:rsidR="005A6F14">
        <w:t>where the president is Head of State, and t</w:t>
      </w:r>
      <w:r w:rsidRPr="00637EFF">
        <w:t xml:space="preserve">he </w:t>
      </w:r>
      <w:proofErr w:type="gramStart"/>
      <w:r w:rsidRPr="00637EFF">
        <w:t>prime minister</w:t>
      </w:r>
      <w:proofErr w:type="gramEnd"/>
      <w:r w:rsidRPr="00637EFF">
        <w:t xml:space="preserve"> </w:t>
      </w:r>
      <w:r w:rsidR="005A6F14">
        <w:t>H</w:t>
      </w:r>
      <w:r w:rsidRPr="00637EFF">
        <w:t xml:space="preserve">ead of </w:t>
      </w:r>
      <w:r w:rsidR="005A6F14">
        <w:t>G</w:t>
      </w:r>
      <w:r w:rsidRPr="00637EFF">
        <w:t>overnment</w:t>
      </w:r>
      <w:r w:rsidR="005A6F14">
        <w:t xml:space="preserve">. </w:t>
      </w:r>
      <w:r w:rsidRPr="00637EFF">
        <w:t>Legislative power is vested in the government and the National Assembly Seats are allocated to a maximum of eight additional members to allow representation of a variety of ethnic groups.</w:t>
      </w:r>
    </w:p>
    <w:p w:rsidR="00637EFF" w:rsidRPr="00637EFF" w:rsidRDefault="00637EFF" w:rsidP="00637EFF">
      <w:pPr>
        <w:jc w:val="both"/>
        <w:rPr>
          <w:b/>
          <w:i/>
        </w:rPr>
      </w:pPr>
      <w:r w:rsidRPr="00637EFF">
        <w:rPr>
          <w:b/>
          <w:i/>
        </w:rPr>
        <w:t>Ministry of Housing and Lands</w:t>
      </w:r>
      <w:r w:rsidRPr="00637EFF">
        <w:rPr>
          <w:b/>
          <w:i/>
          <w:vertAlign w:val="superscript"/>
        </w:rPr>
        <w:footnoteReference w:id="2"/>
      </w:r>
    </w:p>
    <w:p w:rsidR="00637EFF" w:rsidRPr="00637EFF" w:rsidRDefault="00637EFF" w:rsidP="00637EFF">
      <w:pPr>
        <w:jc w:val="both"/>
      </w:pPr>
      <w:r w:rsidRPr="00637EFF">
        <w:t xml:space="preserve">Some of the objectives of the Ministry include </w:t>
      </w:r>
      <w:r w:rsidR="00E25784">
        <w:t>addressing</w:t>
      </w:r>
      <w:r w:rsidR="00E25784" w:rsidRPr="00637EFF">
        <w:t xml:space="preserve"> </w:t>
      </w:r>
      <w:r w:rsidRPr="00637EFF">
        <w:t xml:space="preserve">the </w:t>
      </w:r>
      <w:r w:rsidR="00E25784">
        <w:t xml:space="preserve">issues of </w:t>
      </w:r>
      <w:r w:rsidRPr="00637EFF">
        <w:t>housing of the people of Mauritius and to promote social integration through the development of mixed housing projects under the National Housing Programme and adopt an integrated approach that is applied to the construction of a small number of housing units in an open estate to encourage community living, integration within the neighbourhoods and harmony with the environment​</w:t>
      </w:r>
    </w:p>
    <w:p w:rsidR="003315CC" w:rsidRPr="003315CC" w:rsidRDefault="003315CC" w:rsidP="003315CC">
      <w:pPr>
        <w:jc w:val="both"/>
        <w:rPr>
          <w:u w:val="single"/>
        </w:rPr>
      </w:pPr>
      <w:r w:rsidRPr="003315CC">
        <w:rPr>
          <w:u w:val="single"/>
        </w:rPr>
        <w:t xml:space="preserve">National Development Strategy </w:t>
      </w:r>
    </w:p>
    <w:p w:rsidR="003315CC" w:rsidRPr="003315CC" w:rsidRDefault="003315CC" w:rsidP="003315CC">
      <w:pPr>
        <w:jc w:val="both"/>
      </w:pPr>
      <w:r w:rsidRPr="003315CC">
        <w:lastRenderedPageBreak/>
        <w:t>Mauritius has a National Development Strategy which has objectives for the housing sector, including the upgrading of existing settlements.</w:t>
      </w:r>
    </w:p>
    <w:p w:rsidR="001A78AB" w:rsidRPr="00637EFF" w:rsidRDefault="00637EFF" w:rsidP="001A78AB">
      <w:pPr>
        <w:jc w:val="both"/>
        <w:rPr>
          <w:b/>
          <w:sz w:val="28"/>
          <w:szCs w:val="28"/>
        </w:rPr>
      </w:pPr>
      <w:r w:rsidRPr="00637EFF">
        <w:rPr>
          <w:b/>
          <w:sz w:val="28"/>
          <w:szCs w:val="28"/>
        </w:rPr>
        <w:t>Judiciary</w:t>
      </w:r>
    </w:p>
    <w:p w:rsidR="00860FA2" w:rsidRDefault="00E25784" w:rsidP="00684E92">
      <w:pPr>
        <w:jc w:val="both"/>
        <w:rPr>
          <w:b/>
          <w:sz w:val="28"/>
        </w:rPr>
      </w:pPr>
      <w:r>
        <w:t>N</w:t>
      </w:r>
      <w:r w:rsidR="00637EFF" w:rsidRPr="00637EFF">
        <w:t xml:space="preserve">o decisions </w:t>
      </w:r>
      <w:r w:rsidR="00A93E33">
        <w:t xml:space="preserve">with </w:t>
      </w:r>
      <w:r w:rsidR="00637EFF" w:rsidRPr="00637EFF">
        <w:t>relevan</w:t>
      </w:r>
      <w:r w:rsidR="00A93E33">
        <w:t>ce</w:t>
      </w:r>
      <w:r w:rsidR="00637EFF" w:rsidRPr="00637EFF">
        <w:t xml:space="preserve"> to housing</w:t>
      </w:r>
      <w:r>
        <w:t xml:space="preserve"> could be sourced</w:t>
      </w:r>
      <w:r w:rsidR="00637EFF" w:rsidRPr="00637EFF">
        <w:t>.</w:t>
      </w:r>
      <w:r w:rsidR="00860FA2">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3"/>
      </w:r>
    </w:p>
    <w:p w:rsidR="005F30DA" w:rsidRDefault="005F30DA" w:rsidP="005F30DA">
      <w:pPr>
        <w:jc w:val="both"/>
        <w:rPr>
          <w:rFonts w:eastAsia="Times New Roman" w:cstheme="minorHAnsi"/>
          <w:color w:val="000000"/>
          <w:lang w:eastAsia="en-AU"/>
        </w:rPr>
      </w:pPr>
      <w:r w:rsidRPr="005F30DA">
        <w:rPr>
          <w:rFonts w:eastAsia="Times New Roman" w:cstheme="minorHAnsi"/>
          <w:color w:val="000000"/>
          <w:lang w:eastAsia="en-AU"/>
        </w:rPr>
        <w:t xml:space="preserve">The State has ratified </w:t>
      </w:r>
      <w:r w:rsidR="005A6F14">
        <w:rPr>
          <w:rFonts w:eastAsia="Times New Roman" w:cstheme="minorHAnsi"/>
          <w:color w:val="000000"/>
          <w:lang w:eastAsia="en-AU"/>
        </w:rPr>
        <w:t>most</w:t>
      </w:r>
      <w:r w:rsidR="005A6F14" w:rsidRPr="005F30DA">
        <w:rPr>
          <w:rFonts w:eastAsia="Times New Roman" w:cstheme="minorHAnsi"/>
          <w:color w:val="000000"/>
          <w:lang w:eastAsia="en-AU"/>
        </w:rPr>
        <w:t xml:space="preserve"> </w:t>
      </w:r>
      <w:r w:rsidRPr="005F30DA">
        <w:rPr>
          <w:rFonts w:eastAsia="Times New Roman" w:cstheme="minorHAnsi"/>
          <w:color w:val="000000"/>
          <w:lang w:eastAsia="en-AU"/>
        </w:rPr>
        <w:t xml:space="preserve">of the major human rights conventions, including the Covenant on Economic, Social and Cultural Rights, which includes the </w:t>
      </w:r>
      <w:r w:rsidR="004C67A5">
        <w:rPr>
          <w:rFonts w:eastAsia="Times New Roman" w:cstheme="minorHAnsi"/>
          <w:color w:val="000000"/>
          <w:lang w:eastAsia="en-AU"/>
        </w:rPr>
        <w:t>right to adequate housing</w:t>
      </w:r>
      <w:r w:rsidRPr="005F30DA">
        <w:rPr>
          <w:rFonts w:eastAsia="Times New Roman" w:cstheme="minorHAnsi"/>
          <w:color w:val="000000"/>
          <w:lang w:eastAsia="en-AU"/>
        </w:rPr>
        <w:t xml:space="preserve"> as a component of the</w:t>
      </w:r>
      <w:r w:rsidR="004C67A5">
        <w:rPr>
          <w:rFonts w:eastAsia="Times New Roman" w:cstheme="minorHAnsi"/>
          <w:color w:val="000000"/>
          <w:lang w:eastAsia="en-AU"/>
        </w:rPr>
        <w:t xml:space="preserve"> right to </w:t>
      </w:r>
      <w:r w:rsidR="005A6F14">
        <w:rPr>
          <w:rFonts w:eastAsia="Times New Roman" w:cstheme="minorHAnsi"/>
          <w:color w:val="000000"/>
          <w:lang w:eastAsia="en-AU"/>
        </w:rPr>
        <w:t xml:space="preserve">an </w:t>
      </w:r>
      <w:r w:rsidR="004C67A5">
        <w:rPr>
          <w:rFonts w:eastAsia="Times New Roman" w:cstheme="minorHAnsi"/>
          <w:color w:val="000000"/>
          <w:lang w:eastAsia="en-AU"/>
        </w:rPr>
        <w:t xml:space="preserve">adequate </w:t>
      </w:r>
      <w:r w:rsidR="005A6F14">
        <w:rPr>
          <w:rFonts w:eastAsia="Times New Roman" w:cstheme="minorHAnsi"/>
          <w:color w:val="000000"/>
          <w:lang w:eastAsia="en-AU"/>
        </w:rPr>
        <w:t>standard of living</w:t>
      </w:r>
      <w:r w:rsidR="004C67A5">
        <w:rPr>
          <w:rFonts w:eastAsia="Times New Roman" w:cstheme="minorHAnsi"/>
          <w:color w:val="000000"/>
          <w:lang w:eastAsia="en-AU"/>
        </w:rPr>
        <w:t>.</w:t>
      </w:r>
    </w:p>
    <w:tbl>
      <w:tblPr>
        <w:tblStyle w:val="LightShading"/>
        <w:tblW w:w="5122" w:type="pct"/>
        <w:tblLook w:val="04A0" w:firstRow="1" w:lastRow="0" w:firstColumn="1" w:lastColumn="0" w:noHBand="0" w:noVBand="1"/>
      </w:tblPr>
      <w:tblGrid>
        <w:gridCol w:w="3967"/>
        <w:gridCol w:w="1246"/>
        <w:gridCol w:w="1382"/>
        <w:gridCol w:w="2873"/>
      </w:tblGrid>
      <w:tr w:rsidR="0095370C" w:rsidRPr="00CC70B2" w:rsidTr="00953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AF4B5F" w:rsidP="0095370C">
            <w:pPr>
              <w:spacing w:line="276" w:lineRule="auto"/>
              <w:rPr>
                <w:rFonts w:eastAsia="Times New Roman" w:cstheme="minorHAnsi"/>
              </w:rPr>
            </w:pPr>
            <w:hyperlink r:id="rId9" w:tooltip="Click here to sort" w:history="1">
              <w:r w:rsidR="0095370C" w:rsidRPr="00CC70B2">
                <w:rPr>
                  <w:rStyle w:val="Hyperlink"/>
                  <w:rFonts w:eastAsia="Times New Roman" w:cstheme="minorHAnsi"/>
                  <w:b w:val="0"/>
                  <w:bCs w:val="0"/>
                </w:rPr>
                <w:t>Treaty Description</w:t>
              </w:r>
            </w:hyperlink>
          </w:p>
        </w:tc>
        <w:tc>
          <w:tcPr>
            <w:tcW w:w="0" w:type="auto"/>
            <w:vAlign w:val="center"/>
            <w:hideMark/>
          </w:tcPr>
          <w:p w:rsidR="0095370C" w:rsidRPr="00CC70B2" w:rsidRDefault="00AF4B5F" w:rsidP="0095370C">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95370C" w:rsidRPr="00CC70B2">
                <w:rPr>
                  <w:rStyle w:val="Hyperlink"/>
                  <w:rFonts w:eastAsia="Times New Roman" w:cstheme="minorHAnsi"/>
                  <w:b w:val="0"/>
                  <w:bCs w:val="0"/>
                </w:rPr>
                <w:t>Treaty Name</w:t>
              </w:r>
            </w:hyperlink>
          </w:p>
        </w:tc>
        <w:tc>
          <w:tcPr>
            <w:tcW w:w="730" w:type="pct"/>
            <w:vAlign w:val="center"/>
            <w:hideMark/>
          </w:tcPr>
          <w:p w:rsidR="0095370C" w:rsidRPr="00CC70B2" w:rsidRDefault="00AF4B5F" w:rsidP="0095370C">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95370C" w:rsidRPr="00CC70B2">
                <w:rPr>
                  <w:rStyle w:val="Hyperlink"/>
                  <w:rFonts w:eastAsia="Times New Roman" w:cstheme="minorHAnsi"/>
                  <w:b w:val="0"/>
                  <w:bCs w:val="0"/>
                </w:rPr>
                <w:t>Signature Date</w:t>
              </w:r>
            </w:hyperlink>
          </w:p>
        </w:tc>
        <w:tc>
          <w:tcPr>
            <w:tcW w:w="1517" w:type="pct"/>
            <w:vAlign w:val="center"/>
            <w:hideMark/>
          </w:tcPr>
          <w:p w:rsidR="0095370C" w:rsidRPr="00CC70B2" w:rsidRDefault="00AF4B5F" w:rsidP="0095370C">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95370C" w:rsidRPr="00CC70B2">
                <w:rPr>
                  <w:rStyle w:val="Hyperlink"/>
                  <w:rFonts w:eastAsia="Times New Roman" w:cstheme="minorHAnsi"/>
                  <w:b w:val="0"/>
                  <w:bCs w:val="0"/>
                </w:rPr>
                <w:t xml:space="preserve">Ratification Date, Accession(a), Succession(d) </w:t>
              </w:r>
            </w:hyperlink>
          </w:p>
        </w:tc>
      </w:tr>
      <w:tr w:rsidR="0095370C" w:rsidRPr="00CC70B2"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Convention against Torture and Other Cruel Inhuman or Degrading Treatment or Punishment</w:t>
            </w:r>
          </w:p>
        </w:tc>
        <w:tc>
          <w:tcPr>
            <w:tcW w:w="0" w:type="auto"/>
            <w:vAlign w:val="center"/>
            <w:hideMark/>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C70B2">
              <w:rPr>
                <w:rFonts w:eastAsia="Times New Roman" w:cstheme="minorHAnsi"/>
              </w:rPr>
              <w:t>CAT</w:t>
            </w:r>
          </w:p>
        </w:tc>
        <w:tc>
          <w:tcPr>
            <w:tcW w:w="730" w:type="pct"/>
            <w:vAlign w:val="center"/>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7" w:type="pct"/>
            <w:vAlign w:val="center"/>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cstheme="minorHAnsi"/>
              </w:rPr>
            </w:pPr>
            <w:r w:rsidRPr="00CB0624">
              <w:rPr>
                <w:rFonts w:cstheme="minorHAnsi"/>
              </w:rPr>
              <w:t>09 Dec 1992 (a)</w:t>
            </w:r>
          </w:p>
        </w:tc>
      </w:tr>
      <w:tr w:rsidR="0095370C" w:rsidRPr="00CC70B2" w:rsidTr="0095370C">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International Covenant on Civil and Political Rights</w:t>
            </w:r>
          </w:p>
        </w:tc>
        <w:tc>
          <w:tcPr>
            <w:tcW w:w="0" w:type="auto"/>
            <w:vAlign w:val="center"/>
            <w:hideMark/>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C70B2">
              <w:rPr>
                <w:rFonts w:eastAsia="Times New Roman" w:cstheme="minorHAnsi"/>
              </w:rPr>
              <w:t>CCPR</w:t>
            </w:r>
          </w:p>
        </w:tc>
        <w:tc>
          <w:tcPr>
            <w:tcW w:w="730" w:type="pct"/>
            <w:vAlign w:val="center"/>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17" w:type="pct"/>
            <w:vAlign w:val="center"/>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B0624">
              <w:rPr>
                <w:rFonts w:eastAsia="Times New Roman" w:cstheme="minorHAnsi"/>
              </w:rPr>
              <w:t>12 Dec 1973 (a)</w:t>
            </w:r>
          </w:p>
        </w:tc>
      </w:tr>
      <w:tr w:rsidR="0095370C" w:rsidRPr="00CC70B2"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Convention on the Elimination of All Forms of Discrimination against Women</w:t>
            </w:r>
          </w:p>
        </w:tc>
        <w:tc>
          <w:tcPr>
            <w:tcW w:w="0" w:type="auto"/>
            <w:vAlign w:val="center"/>
            <w:hideMark/>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C70B2">
              <w:rPr>
                <w:rFonts w:eastAsia="Times New Roman" w:cstheme="minorHAnsi"/>
              </w:rPr>
              <w:t>CEDAW</w:t>
            </w:r>
          </w:p>
        </w:tc>
        <w:tc>
          <w:tcPr>
            <w:tcW w:w="730" w:type="pct"/>
            <w:vAlign w:val="center"/>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1517" w:type="pct"/>
            <w:vAlign w:val="center"/>
            <w:hideMark/>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65971">
              <w:rPr>
                <w:rFonts w:eastAsia="Times New Roman" w:cstheme="minorHAnsi"/>
              </w:rPr>
              <w:t>09 Jul 1984 (a)</w:t>
            </w:r>
          </w:p>
        </w:tc>
      </w:tr>
      <w:tr w:rsidR="0095370C" w:rsidRPr="00CC70B2" w:rsidTr="0095370C">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International Convention on the Elimination of All Forms of Racial Discrimination</w:t>
            </w:r>
          </w:p>
        </w:tc>
        <w:tc>
          <w:tcPr>
            <w:tcW w:w="0" w:type="auto"/>
            <w:vAlign w:val="center"/>
            <w:hideMark/>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C70B2">
              <w:rPr>
                <w:rFonts w:eastAsia="Times New Roman" w:cstheme="minorHAnsi"/>
              </w:rPr>
              <w:t>CERD</w:t>
            </w:r>
          </w:p>
        </w:tc>
        <w:tc>
          <w:tcPr>
            <w:tcW w:w="730" w:type="pct"/>
            <w:vAlign w:val="center"/>
          </w:tcPr>
          <w:p w:rsidR="0095370C" w:rsidRPr="000E5834"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p>
        </w:tc>
        <w:tc>
          <w:tcPr>
            <w:tcW w:w="1517" w:type="pct"/>
            <w:vAlign w:val="center"/>
            <w:hideMark/>
          </w:tcPr>
          <w:p w:rsidR="0095370C" w:rsidRPr="00CC70B2"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D65971">
              <w:rPr>
                <w:rFonts w:eastAsia="Times New Roman" w:cstheme="minorHAnsi"/>
              </w:rPr>
              <w:t>30 May 1972 (a)</w:t>
            </w:r>
          </w:p>
        </w:tc>
      </w:tr>
      <w:tr w:rsidR="0095370C" w:rsidRPr="00CC70B2"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International Covenant on Economic, Social and Cultural Rights</w:t>
            </w:r>
          </w:p>
        </w:tc>
        <w:tc>
          <w:tcPr>
            <w:tcW w:w="0" w:type="auto"/>
            <w:vAlign w:val="center"/>
            <w:hideMark/>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C70B2">
              <w:rPr>
                <w:rFonts w:eastAsia="Times New Roman" w:cstheme="minorHAnsi"/>
              </w:rPr>
              <w:t>CESCR</w:t>
            </w:r>
          </w:p>
        </w:tc>
        <w:tc>
          <w:tcPr>
            <w:tcW w:w="730" w:type="pct"/>
            <w:vAlign w:val="center"/>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17" w:type="pct"/>
            <w:vAlign w:val="center"/>
            <w:hideMark/>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65971">
              <w:rPr>
                <w:rFonts w:eastAsia="Times New Roman" w:cstheme="minorHAnsi"/>
              </w:rPr>
              <w:t>12 Dec 1973 (a)</w:t>
            </w:r>
          </w:p>
        </w:tc>
      </w:tr>
      <w:tr w:rsidR="0095370C" w:rsidRPr="00CC70B2" w:rsidTr="0095370C">
        <w:tc>
          <w:tcPr>
            <w:cnfStyle w:val="001000000000" w:firstRow="0" w:lastRow="0" w:firstColumn="1" w:lastColumn="0" w:oddVBand="0" w:evenVBand="0" w:oddHBand="0" w:evenHBand="0" w:firstRowFirstColumn="0" w:firstRowLastColumn="0" w:lastRowFirstColumn="0" w:lastRowLastColumn="0"/>
            <w:tcW w:w="2095" w:type="pct"/>
            <w:vAlign w:val="center"/>
          </w:tcPr>
          <w:p w:rsidR="0095370C" w:rsidRPr="00D36675" w:rsidRDefault="0095370C" w:rsidP="0095370C">
            <w:pPr>
              <w:rPr>
                <w:rFonts w:eastAsia="Times New Roman" w:cstheme="minorHAnsi"/>
                <w:b w:val="0"/>
              </w:rPr>
            </w:pPr>
            <w:r w:rsidRPr="00D36675">
              <w:rPr>
                <w:rFonts w:eastAsia="Times New Roman" w:cstheme="minorHAnsi"/>
                <w:b w:val="0"/>
              </w:rPr>
              <w:t>International Convention on the Protection of the Rights of All Migrant Workers and Members of Their Families</w:t>
            </w:r>
          </w:p>
        </w:tc>
        <w:tc>
          <w:tcPr>
            <w:tcW w:w="0" w:type="auto"/>
            <w:vAlign w:val="center"/>
          </w:tcPr>
          <w:p w:rsidR="0095370C" w:rsidRPr="00CC70B2"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CMW</w:t>
            </w:r>
          </w:p>
        </w:tc>
        <w:tc>
          <w:tcPr>
            <w:tcW w:w="730" w:type="pct"/>
            <w:vAlign w:val="center"/>
          </w:tcPr>
          <w:p w:rsidR="0095370C" w:rsidRPr="00CC70B2"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17" w:type="pct"/>
            <w:vAlign w:val="center"/>
          </w:tcPr>
          <w:p w:rsidR="0095370C" w:rsidRPr="00D65971"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370C" w:rsidRPr="00CC70B2"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Convention on the Rights of the Child</w:t>
            </w:r>
          </w:p>
        </w:tc>
        <w:tc>
          <w:tcPr>
            <w:tcW w:w="0" w:type="auto"/>
            <w:vAlign w:val="center"/>
            <w:hideMark/>
          </w:tcPr>
          <w:p w:rsidR="0095370C" w:rsidRPr="00CC70B2" w:rsidRDefault="0095370C" w:rsidP="0095370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C70B2">
              <w:rPr>
                <w:rFonts w:eastAsia="Times New Roman" w:cstheme="minorHAnsi"/>
              </w:rPr>
              <w:t>CRC</w:t>
            </w:r>
          </w:p>
        </w:tc>
        <w:tc>
          <w:tcPr>
            <w:tcW w:w="730" w:type="pct"/>
            <w:vAlign w:val="center"/>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1517" w:type="pct"/>
            <w:vAlign w:val="center"/>
            <w:hideMark/>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65971">
              <w:rPr>
                <w:rFonts w:eastAsia="Times New Roman" w:cstheme="minorHAnsi"/>
              </w:rPr>
              <w:t>26 Jul 1990 (a)</w:t>
            </w:r>
          </w:p>
        </w:tc>
      </w:tr>
      <w:tr w:rsidR="0095370C" w:rsidRPr="00CC70B2" w:rsidTr="0095370C">
        <w:tc>
          <w:tcPr>
            <w:cnfStyle w:val="001000000000" w:firstRow="0" w:lastRow="0" w:firstColumn="1" w:lastColumn="0" w:oddVBand="0" w:evenVBand="0" w:oddHBand="0" w:evenHBand="0" w:firstRowFirstColumn="0" w:firstRowLastColumn="0" w:lastRowFirstColumn="0" w:lastRowLastColumn="0"/>
            <w:tcW w:w="2095" w:type="pct"/>
            <w:vAlign w:val="center"/>
            <w:hideMark/>
          </w:tcPr>
          <w:p w:rsidR="0095370C" w:rsidRPr="00CC70B2" w:rsidRDefault="0095370C" w:rsidP="0095370C">
            <w:pPr>
              <w:spacing w:line="276" w:lineRule="auto"/>
              <w:rPr>
                <w:rFonts w:eastAsia="Times New Roman" w:cstheme="minorHAnsi"/>
                <w:b w:val="0"/>
              </w:rPr>
            </w:pPr>
            <w:r w:rsidRPr="00CC70B2">
              <w:rPr>
                <w:rFonts w:eastAsia="Times New Roman" w:cstheme="minorHAnsi"/>
                <w:b w:val="0"/>
              </w:rPr>
              <w:t>Convention on the Rights of Persons with Disabilities</w:t>
            </w:r>
          </w:p>
        </w:tc>
        <w:tc>
          <w:tcPr>
            <w:tcW w:w="0" w:type="auto"/>
            <w:vAlign w:val="center"/>
            <w:hideMark/>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C70B2">
              <w:rPr>
                <w:rFonts w:eastAsia="Times New Roman" w:cstheme="minorHAnsi"/>
              </w:rPr>
              <w:t>CRPD</w:t>
            </w:r>
          </w:p>
        </w:tc>
        <w:tc>
          <w:tcPr>
            <w:tcW w:w="730" w:type="pct"/>
            <w:vAlign w:val="center"/>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65971">
              <w:rPr>
                <w:rFonts w:eastAsia="Times New Roman" w:cstheme="minorHAnsi"/>
              </w:rPr>
              <w:t>25 Sep 2007</w:t>
            </w:r>
          </w:p>
        </w:tc>
        <w:tc>
          <w:tcPr>
            <w:tcW w:w="1517" w:type="pct"/>
            <w:vAlign w:val="center"/>
            <w:hideMark/>
          </w:tcPr>
          <w:p w:rsidR="0095370C" w:rsidRPr="00CC70B2" w:rsidRDefault="0095370C" w:rsidP="0095370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65971">
              <w:rPr>
                <w:rFonts w:eastAsia="Times New Roman" w:cstheme="minorHAnsi"/>
              </w:rPr>
              <w:t>08 Jan 2010</w:t>
            </w:r>
          </w:p>
        </w:tc>
      </w:tr>
      <w:tr w:rsidR="0095370C" w:rsidRPr="00CC70B2" w:rsidTr="0095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pct"/>
            <w:vAlign w:val="center"/>
          </w:tcPr>
          <w:p w:rsidR="0095370C" w:rsidRPr="00D36675" w:rsidRDefault="0095370C" w:rsidP="0095370C">
            <w:pPr>
              <w:rPr>
                <w:rFonts w:eastAsia="Times New Roman" w:cstheme="minorHAnsi"/>
                <w:b w:val="0"/>
              </w:rPr>
            </w:pPr>
            <w:r w:rsidRPr="00D36675">
              <w:rPr>
                <w:rFonts w:eastAsia="Times New Roman" w:cstheme="minorHAnsi"/>
                <w:b w:val="0"/>
              </w:rPr>
              <w:t>Convention Relating to the Status of Refugees</w:t>
            </w:r>
            <w:r w:rsidRPr="00D36675">
              <w:rPr>
                <w:rFonts w:eastAsia="Times New Roman" w:cstheme="minorHAnsi"/>
                <w:b w:val="0"/>
              </w:rPr>
              <w:tab/>
            </w:r>
          </w:p>
          <w:p w:rsidR="0095370C" w:rsidRPr="00D36675" w:rsidRDefault="0095370C" w:rsidP="0095370C">
            <w:pPr>
              <w:rPr>
                <w:rFonts w:eastAsia="Times New Roman" w:cstheme="minorHAnsi"/>
                <w:b w:val="0"/>
              </w:rPr>
            </w:pPr>
          </w:p>
        </w:tc>
        <w:tc>
          <w:tcPr>
            <w:tcW w:w="0" w:type="auto"/>
            <w:vAlign w:val="center"/>
          </w:tcPr>
          <w:p w:rsidR="0095370C" w:rsidRPr="00CC70B2"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36675">
              <w:rPr>
                <w:rFonts w:eastAsia="Times New Roman" w:cstheme="minorHAnsi"/>
              </w:rPr>
              <w:t>Refugee Convention</w:t>
            </w:r>
          </w:p>
        </w:tc>
        <w:tc>
          <w:tcPr>
            <w:tcW w:w="730" w:type="pct"/>
            <w:vAlign w:val="center"/>
          </w:tcPr>
          <w:p w:rsidR="0095370C" w:rsidRPr="00D65971"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17" w:type="pct"/>
            <w:vAlign w:val="center"/>
          </w:tcPr>
          <w:p w:rsidR="0095370C" w:rsidRPr="00D65971" w:rsidRDefault="0095370C" w:rsidP="0095370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370C" w:rsidRPr="00CC70B2" w:rsidTr="0095370C">
        <w:tc>
          <w:tcPr>
            <w:cnfStyle w:val="001000000000" w:firstRow="0" w:lastRow="0" w:firstColumn="1" w:lastColumn="0" w:oddVBand="0" w:evenVBand="0" w:oddHBand="0" w:evenHBand="0" w:firstRowFirstColumn="0" w:firstRowLastColumn="0" w:lastRowFirstColumn="0" w:lastRowLastColumn="0"/>
            <w:tcW w:w="2095" w:type="pct"/>
            <w:vAlign w:val="center"/>
          </w:tcPr>
          <w:p w:rsidR="0095370C" w:rsidRPr="00CC70B2" w:rsidRDefault="0095370C" w:rsidP="0095370C">
            <w:pPr>
              <w:rPr>
                <w:rFonts w:eastAsia="Times New Roman" w:cstheme="minorHAnsi"/>
              </w:rPr>
            </w:pPr>
            <w:r w:rsidRPr="00D36675">
              <w:rPr>
                <w:rFonts w:eastAsia="Times New Roman" w:cstheme="minorHAnsi"/>
                <w:b w:val="0"/>
              </w:rPr>
              <w:t>Protocol Relating to the Status of Refugees</w:t>
            </w:r>
            <w:r w:rsidRPr="00D36675">
              <w:rPr>
                <w:rFonts w:eastAsia="Times New Roman" w:cstheme="minorHAnsi"/>
                <w:b w:val="0"/>
              </w:rPr>
              <w:tab/>
            </w:r>
          </w:p>
        </w:tc>
        <w:tc>
          <w:tcPr>
            <w:tcW w:w="0" w:type="auto"/>
            <w:vAlign w:val="center"/>
          </w:tcPr>
          <w:p w:rsidR="0095370C" w:rsidRPr="00D65971"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36675">
              <w:rPr>
                <w:rFonts w:eastAsia="Times New Roman" w:cstheme="minorHAnsi"/>
              </w:rPr>
              <w:t>Protocol Relating to the Status of refugees</w:t>
            </w:r>
          </w:p>
        </w:tc>
        <w:tc>
          <w:tcPr>
            <w:tcW w:w="730" w:type="pct"/>
            <w:vAlign w:val="center"/>
          </w:tcPr>
          <w:p w:rsidR="0095370C" w:rsidRPr="00D65971"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17" w:type="pct"/>
            <w:vAlign w:val="center"/>
          </w:tcPr>
          <w:p w:rsidR="0095370C" w:rsidRPr="00D65971" w:rsidRDefault="0095370C" w:rsidP="0095370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95370C" w:rsidRDefault="0095370C" w:rsidP="002250DD">
      <w:pPr>
        <w:rPr>
          <w:rFonts w:eastAsia="Times New Roman" w:cstheme="minorHAnsi"/>
          <w:color w:val="000000"/>
          <w:lang w:eastAsia="en-AU"/>
        </w:rPr>
      </w:pPr>
    </w:p>
    <w:p w:rsidR="00376665" w:rsidRDefault="00637EFF" w:rsidP="002250DD">
      <w:r>
        <w:t>Mauritius has not signed</w:t>
      </w:r>
      <w:r w:rsidR="00376665">
        <w:t>:</w:t>
      </w:r>
    </w:p>
    <w:p w:rsidR="00600921" w:rsidRDefault="00DC50F5" w:rsidP="00C8361C">
      <w:pPr>
        <w:pStyle w:val="ListParagraph"/>
        <w:numPr>
          <w:ilvl w:val="0"/>
          <w:numId w:val="9"/>
        </w:numPr>
        <w:jc w:val="both"/>
      </w:pPr>
      <w:r w:rsidRPr="00DC50F5">
        <w:t xml:space="preserve">International Convention on the Protection of the Rights of All Migrant Workers and Members of Their Families </w:t>
      </w:r>
      <w:r>
        <w:t xml:space="preserve"> </w:t>
      </w:r>
      <w:r w:rsidR="00600921" w:rsidRPr="00600921">
        <w:t xml:space="preserve"> </w:t>
      </w:r>
    </w:p>
    <w:p w:rsidR="00637EFF" w:rsidRDefault="00637EFF" w:rsidP="00637EFF">
      <w:pPr>
        <w:pStyle w:val="ListParagraph"/>
        <w:numPr>
          <w:ilvl w:val="0"/>
          <w:numId w:val="9"/>
        </w:numPr>
        <w:jc w:val="both"/>
      </w:pPr>
      <w:r>
        <w:t>Convention Relating to the Status of Refugees</w:t>
      </w:r>
      <w:r>
        <w:tab/>
      </w:r>
    </w:p>
    <w:p w:rsidR="00637EFF" w:rsidRDefault="00637EFF" w:rsidP="00637EFF">
      <w:pPr>
        <w:pStyle w:val="ListParagraph"/>
        <w:numPr>
          <w:ilvl w:val="0"/>
          <w:numId w:val="9"/>
        </w:numPr>
        <w:jc w:val="both"/>
      </w:pPr>
      <w:r>
        <w:t>Protocol Relating to the Status of Refugees</w:t>
      </w:r>
      <w:r>
        <w:tab/>
      </w:r>
    </w:p>
    <w:p w:rsidR="00C36F99" w:rsidRPr="00BF207E" w:rsidRDefault="00C36F99" w:rsidP="00600921">
      <w:pPr>
        <w:pStyle w:val="ListParagraph"/>
        <w:jc w:val="both"/>
      </w:pPr>
    </w:p>
    <w:p w:rsidR="002E7D99" w:rsidRDefault="002E7D99" w:rsidP="002250DD">
      <w:pPr>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5F30DA" w:rsidRPr="005F30DA" w:rsidRDefault="005F30DA" w:rsidP="005F30DA">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sidR="00E25784">
        <w:rPr>
          <w:rFonts w:eastAsia="Times New Roman" w:cstheme="minorHAnsi"/>
          <w:color w:val="000000"/>
          <w:lang w:eastAsia="en-AU"/>
        </w:rPr>
        <w:t xml:space="preserve"> expressed concerns over the high levels of poverty among its population. Mauritius has been recommended to continue its efforts to ensure housing and to initiate immediate and effective measures to </w:t>
      </w:r>
      <w:r w:rsidR="00E25784" w:rsidRPr="005F6B41">
        <w:rPr>
          <w:rFonts w:cstheme="minorHAnsi"/>
          <w:bCs/>
        </w:rPr>
        <w:t>combat poverty</w:t>
      </w:r>
      <w:r w:rsidR="00E25784">
        <w:rPr>
          <w:rFonts w:cstheme="minorHAnsi"/>
          <w:bCs/>
        </w:rPr>
        <w:t>,</w:t>
      </w:r>
      <w:r w:rsidR="00E25784" w:rsidRPr="005F6B41">
        <w:rPr>
          <w:rFonts w:cstheme="minorHAnsi"/>
          <w:bCs/>
        </w:rPr>
        <w:t xml:space="preserve"> and </w:t>
      </w:r>
      <w:r w:rsidR="00E25784">
        <w:rPr>
          <w:rFonts w:cstheme="minorHAnsi"/>
          <w:bCs/>
        </w:rPr>
        <w:t xml:space="preserve">to </w:t>
      </w:r>
      <w:r w:rsidR="00E25784" w:rsidRPr="005F6B41">
        <w:rPr>
          <w:rFonts w:cstheme="minorHAnsi"/>
          <w:bCs/>
        </w:rPr>
        <w:t>ensure that the population has affordable access to water supply and hygienic living conditions</w:t>
      </w:r>
      <w:r w:rsidR="00E25784">
        <w:rPr>
          <w:rFonts w:cstheme="minorHAnsi"/>
          <w:bCs/>
        </w:rPr>
        <w:t>.</w:t>
      </w:r>
      <w:r w:rsidR="00E25784">
        <w:rPr>
          <w:rFonts w:eastAsia="Times New Roman" w:cstheme="minorHAnsi"/>
          <w:color w:val="000000"/>
          <w:lang w:eastAsia="en-AU"/>
        </w:rPr>
        <w:t xml:space="preserve"> </w:t>
      </w:r>
    </w:p>
    <w:p w:rsidR="00437199" w:rsidRPr="00437199" w:rsidRDefault="00437199" w:rsidP="002250DD">
      <w:r w:rsidRPr="00437199">
        <w:rPr>
          <w:rFonts w:cstheme="minorHAnsi"/>
          <w:b/>
          <w:i/>
        </w:rPr>
        <w:t xml:space="preserve">Universal Periodic Review </w:t>
      </w:r>
      <w:r w:rsidR="00D86897">
        <w:rPr>
          <w:rFonts w:cstheme="minorHAnsi"/>
          <w:b/>
          <w:i/>
        </w:rPr>
        <w:t xml:space="preserve"> </w:t>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855C17" w:rsidRPr="00855C17" w:rsidRDefault="0095370C" w:rsidP="00855C17">
      <w:pPr>
        <w:jc w:val="both"/>
        <w:rPr>
          <w:rFonts w:cstheme="minorHAnsi"/>
          <w:u w:val="single"/>
        </w:rPr>
      </w:pPr>
      <w:r>
        <w:rPr>
          <w:rFonts w:cstheme="minorHAnsi"/>
          <w:u w:val="single"/>
        </w:rPr>
        <w:t>First UPR (2009</w:t>
      </w:r>
      <w:r w:rsidR="00855C17">
        <w:rPr>
          <w:rFonts w:cstheme="minorHAnsi"/>
          <w:u w:val="single"/>
        </w:rPr>
        <w:t>)</w:t>
      </w:r>
      <w:r w:rsidR="00855C17" w:rsidRPr="00855C17">
        <w:rPr>
          <w:rFonts w:cstheme="minorHAnsi"/>
          <w:vertAlign w:val="superscript"/>
        </w:rPr>
        <w:footnoteReference w:id="4"/>
      </w:r>
      <w:r w:rsidR="00855C17" w:rsidRPr="00855C17">
        <w:rPr>
          <w:rFonts w:cstheme="minorHAnsi"/>
          <w:u w:val="single"/>
        </w:rPr>
        <w:t xml:space="preserve"> </w:t>
      </w:r>
    </w:p>
    <w:p w:rsidR="00DC50F5" w:rsidRPr="00855C17" w:rsidRDefault="0095370C" w:rsidP="00DC50F5">
      <w:pPr>
        <w:jc w:val="both"/>
        <w:rPr>
          <w:rFonts w:cstheme="minorHAnsi"/>
          <w:bCs/>
        </w:rPr>
      </w:pPr>
      <w:r>
        <w:rPr>
          <w:rFonts w:cstheme="minorHAnsi"/>
          <w:bCs/>
        </w:rPr>
        <w:t xml:space="preserve">The Report of the Working Group did not make any recommendation in relation to the right to adequate housing.  </w:t>
      </w:r>
    </w:p>
    <w:p w:rsidR="00C4509D" w:rsidRDefault="00C4509D" w:rsidP="00C8361C">
      <w:pPr>
        <w:jc w:val="both"/>
        <w:rPr>
          <w:rFonts w:cstheme="minorHAnsi"/>
          <w:u w:val="single"/>
        </w:rPr>
      </w:pPr>
      <w:r w:rsidRPr="00C4509D">
        <w:rPr>
          <w:rFonts w:cstheme="minorHAnsi"/>
          <w:u w:val="single"/>
        </w:rPr>
        <w:t xml:space="preserve">Second UPR </w:t>
      </w:r>
      <w:r w:rsidR="005F6B41">
        <w:rPr>
          <w:rFonts w:cstheme="minorHAnsi"/>
          <w:u w:val="single"/>
        </w:rPr>
        <w:t>(2013</w:t>
      </w:r>
      <w:r>
        <w:rPr>
          <w:rFonts w:cstheme="minorHAnsi"/>
          <w:u w:val="single"/>
        </w:rPr>
        <w:t>)</w:t>
      </w:r>
      <w:r>
        <w:rPr>
          <w:rStyle w:val="FootnoteReference"/>
          <w:rFonts w:cstheme="minorHAnsi"/>
          <w:u w:val="single"/>
        </w:rPr>
        <w:footnoteReference w:id="5"/>
      </w:r>
    </w:p>
    <w:p w:rsidR="00855C17" w:rsidRDefault="005F6B41" w:rsidP="00600921">
      <w:pPr>
        <w:jc w:val="both"/>
        <w:rPr>
          <w:rFonts w:cstheme="minorHAnsi"/>
          <w:bCs/>
        </w:rPr>
      </w:pPr>
      <w:r>
        <w:rPr>
          <w:rFonts w:cstheme="minorHAnsi"/>
          <w:bCs/>
        </w:rPr>
        <w:t xml:space="preserve">‘Recommendation </w:t>
      </w:r>
      <w:r w:rsidRPr="005F6B41">
        <w:rPr>
          <w:rFonts w:cstheme="minorHAnsi"/>
          <w:bCs/>
        </w:rPr>
        <w:t>128.90</w:t>
      </w:r>
      <w:r>
        <w:rPr>
          <w:rFonts w:cstheme="minorHAnsi"/>
          <w:bCs/>
        </w:rPr>
        <w:t>:</w:t>
      </w:r>
      <w:r w:rsidRPr="005F6B41">
        <w:rPr>
          <w:rFonts w:cstheme="minorHAnsi"/>
          <w:bCs/>
        </w:rPr>
        <w:t xml:space="preserve"> Continue its efforts to eliminate </w:t>
      </w:r>
      <w:proofErr w:type="gramStart"/>
      <w:r w:rsidRPr="005F6B41">
        <w:rPr>
          <w:rFonts w:cstheme="minorHAnsi"/>
          <w:bCs/>
        </w:rPr>
        <w:t>poverty</w:t>
      </w:r>
      <w:r>
        <w:rPr>
          <w:rFonts w:cstheme="minorHAnsi"/>
          <w:bCs/>
        </w:rPr>
        <w:t>,</w:t>
      </w:r>
      <w:proofErr w:type="gramEnd"/>
      <w:r>
        <w:rPr>
          <w:rFonts w:cstheme="minorHAnsi"/>
          <w:bCs/>
        </w:rPr>
        <w:t xml:space="preserve"> </w:t>
      </w:r>
      <w:r w:rsidRPr="005F6B41">
        <w:rPr>
          <w:rFonts w:cstheme="minorHAnsi"/>
          <w:bCs/>
        </w:rPr>
        <w:t>ensure the right to food and housing for its population and promote harmony among various communities</w:t>
      </w:r>
      <w:r>
        <w:rPr>
          <w:rFonts w:cstheme="minorHAnsi"/>
          <w:bCs/>
        </w:rPr>
        <w:t>.’</w:t>
      </w:r>
    </w:p>
    <w:p w:rsidR="005F6B41" w:rsidRDefault="005F6B41" w:rsidP="00600921">
      <w:pPr>
        <w:jc w:val="both"/>
        <w:rPr>
          <w:rFonts w:cstheme="minorHAnsi"/>
        </w:rPr>
      </w:pPr>
      <w:r>
        <w:rPr>
          <w:rFonts w:cstheme="minorHAnsi"/>
          <w:bCs/>
        </w:rPr>
        <w:t>‘Recommendation 128.94:</w:t>
      </w:r>
      <w:r w:rsidRPr="005F6B41">
        <w:rPr>
          <w:rFonts w:cstheme="minorHAnsi"/>
          <w:bCs/>
        </w:rPr>
        <w:t xml:space="preserve"> Maintain its efforts in the context of the right to housing</w:t>
      </w:r>
      <w:r>
        <w:rPr>
          <w:rFonts w:cstheme="minorHAnsi"/>
          <w:bCs/>
        </w:rPr>
        <w:t>.’</w:t>
      </w:r>
    </w:p>
    <w:p w:rsidR="00CE3053" w:rsidRPr="00855C17" w:rsidRDefault="00437199" w:rsidP="00600921">
      <w:pPr>
        <w:jc w:val="both"/>
        <w:rPr>
          <w:rFonts w:cstheme="minorHAnsi"/>
        </w:rPr>
      </w:pPr>
      <w:r w:rsidRPr="00437199">
        <w:rPr>
          <w:rFonts w:cstheme="minorHAnsi"/>
          <w:b/>
          <w:bCs/>
          <w:i/>
        </w:rPr>
        <w:t xml:space="preserve">Report of the United Nations High Commissioner for Human Rights </w:t>
      </w:r>
      <w:r w:rsidR="000966A2">
        <w:rPr>
          <w:rFonts w:cstheme="minorHAnsi"/>
          <w:b/>
          <w:bCs/>
          <w:i/>
        </w:rPr>
        <w:t>(201</w:t>
      </w:r>
      <w:r w:rsidR="005F6B41">
        <w:rPr>
          <w:rFonts w:cstheme="minorHAnsi"/>
          <w:b/>
          <w:bCs/>
          <w:i/>
        </w:rPr>
        <w:t>3</w:t>
      </w:r>
      <w:r w:rsidR="000966A2">
        <w:rPr>
          <w:rFonts w:cstheme="minorHAnsi"/>
          <w:b/>
          <w:bCs/>
          <w:i/>
        </w:rPr>
        <w:t>)</w:t>
      </w:r>
      <w:r w:rsidR="000966A2">
        <w:rPr>
          <w:rStyle w:val="FootnoteReference"/>
          <w:rFonts w:cstheme="minorHAnsi"/>
          <w:b/>
          <w:bCs/>
          <w:i/>
        </w:rPr>
        <w:footnoteReference w:id="6"/>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5F6B41" w:rsidRDefault="0095370C" w:rsidP="005F6B41">
      <w:pPr>
        <w:jc w:val="both"/>
        <w:rPr>
          <w:rFonts w:cstheme="minorHAnsi"/>
          <w:bCs/>
        </w:rPr>
      </w:pPr>
      <w:r>
        <w:rPr>
          <w:rFonts w:cstheme="minorHAnsi"/>
          <w:bCs/>
        </w:rPr>
        <w:t xml:space="preserve">The Report does not mention anything in relation to the right to adequate housing. </w:t>
      </w:r>
    </w:p>
    <w:p w:rsidR="005F6B41" w:rsidRPr="005F6B41" w:rsidRDefault="005F6B41" w:rsidP="005F6B41">
      <w:pPr>
        <w:jc w:val="both"/>
        <w:rPr>
          <w:rFonts w:cstheme="minorHAnsi"/>
          <w:bCs/>
        </w:rPr>
      </w:pPr>
      <w:r w:rsidRPr="005F6B41">
        <w:rPr>
          <w:rFonts w:cstheme="minorHAnsi"/>
          <w:b/>
          <w:bCs/>
          <w:i/>
        </w:rPr>
        <w:t>Committee on Economic, Social and Cultural Rights (2014)</w:t>
      </w:r>
      <w:r w:rsidRPr="005F6B41">
        <w:rPr>
          <w:rFonts w:cstheme="minorHAnsi"/>
          <w:b/>
          <w:bCs/>
          <w:i/>
          <w:vertAlign w:val="superscript"/>
        </w:rPr>
        <w:footnoteReference w:id="7"/>
      </w:r>
    </w:p>
    <w:p w:rsidR="005F6B41" w:rsidRPr="005F6B41" w:rsidRDefault="005F6B41" w:rsidP="005F6B41">
      <w:pPr>
        <w:jc w:val="both"/>
        <w:rPr>
          <w:rFonts w:cstheme="minorHAnsi"/>
          <w:bCs/>
          <w:i/>
        </w:rPr>
      </w:pPr>
      <w:r w:rsidRPr="005F6B41">
        <w:rPr>
          <w:rFonts w:cstheme="minorHAnsi"/>
          <w:bCs/>
          <w:i/>
        </w:rPr>
        <w:t xml:space="preserve">The Committee specifically reviews states that have ratified the ICESCR on their compliance with the rights enshrined in it, including the Right to Adequate Housing. </w:t>
      </w:r>
    </w:p>
    <w:p w:rsidR="005F6B41" w:rsidRPr="005F6B41" w:rsidRDefault="005F6B41" w:rsidP="005F6B41">
      <w:pPr>
        <w:jc w:val="both"/>
        <w:rPr>
          <w:rFonts w:cstheme="minorHAnsi"/>
          <w:bCs/>
        </w:rPr>
      </w:pPr>
      <w:r w:rsidRPr="005F6B41">
        <w:rPr>
          <w:rFonts w:cstheme="minorHAnsi"/>
          <w:bCs/>
        </w:rPr>
        <w:lastRenderedPageBreak/>
        <w:t>Mauritius was last reviewed in May 2010:</w:t>
      </w:r>
    </w:p>
    <w:p w:rsidR="005F6B41" w:rsidRPr="005F6B41" w:rsidRDefault="005F6B41" w:rsidP="005F6B41">
      <w:pPr>
        <w:jc w:val="both"/>
        <w:rPr>
          <w:rFonts w:cstheme="minorHAnsi"/>
          <w:bCs/>
        </w:rPr>
      </w:pPr>
      <w:r w:rsidRPr="005F6B41">
        <w:rPr>
          <w:rFonts w:cstheme="minorHAnsi"/>
          <w:bCs/>
        </w:rPr>
        <w:t>26. The Committee is concerned that 10 per cent of Mauritians are estimated to be living in poverty, and, in particular, that about 40 per cent of the population on Rodrigues Island live below the poverty level. It is further concerned that some regions are deprived of water supply and hygienic living conditions, particularly on Rodrigues Island (art. 11).</w:t>
      </w:r>
    </w:p>
    <w:p w:rsidR="005F6B41" w:rsidRPr="005F6B41" w:rsidRDefault="005F6B41" w:rsidP="005F6B41">
      <w:pPr>
        <w:jc w:val="both"/>
        <w:rPr>
          <w:rFonts w:cstheme="minorHAnsi"/>
          <w:bCs/>
        </w:rPr>
      </w:pPr>
      <w:r w:rsidRPr="005F6B41">
        <w:rPr>
          <w:rFonts w:cstheme="minorHAnsi"/>
          <w:bCs/>
        </w:rPr>
        <w:t>The Committee urges the State party to take immediate and effective measures to combat poverty and ensure that the population has affordable access to water supply and hygienic living conditions, particularly on Rodrigues Island, in line with its general comment No. 4 (1991) on the right to adequate housing and general comment No. 15 (2002) on the right to water and its statement on poverty and the International Covenant on Economic, Social and Cultural Rights</w:t>
      </w:r>
      <w:r>
        <w:rPr>
          <w:rFonts w:cstheme="minorHAnsi"/>
          <w:bCs/>
        </w:rPr>
        <w:t>.</w:t>
      </w:r>
      <w:r w:rsidRPr="005F6B41">
        <w:rPr>
          <w:rFonts w:cstheme="minorHAnsi"/>
          <w:bCs/>
        </w:rPr>
        <w:t xml:space="preserve"> </w:t>
      </w:r>
    </w:p>
    <w:p w:rsidR="00855C17" w:rsidRPr="00895B84" w:rsidRDefault="00855C17" w:rsidP="00855C17">
      <w:pPr>
        <w:jc w:val="both"/>
        <w:rPr>
          <w:rFonts w:cstheme="minorHAnsi"/>
          <w:b/>
          <w:bCs/>
          <w:i/>
        </w:rPr>
      </w:pPr>
      <w:r w:rsidRPr="00895B84">
        <w:rPr>
          <w:rFonts w:cstheme="minorHAnsi"/>
          <w:b/>
          <w:bCs/>
          <w:i/>
        </w:rPr>
        <w:t>United Nations Country Team (UNCT)</w:t>
      </w:r>
      <w:r w:rsidRPr="00895B84">
        <w:rPr>
          <w:rFonts w:cstheme="minorHAnsi"/>
          <w:b/>
          <w:bCs/>
          <w:i/>
          <w:vertAlign w:val="superscript"/>
        </w:rPr>
        <w:footnoteReference w:id="8"/>
      </w:r>
    </w:p>
    <w:p w:rsidR="00855C17" w:rsidRPr="00855C17" w:rsidRDefault="00855C17" w:rsidP="00855C17">
      <w:pPr>
        <w:jc w:val="both"/>
        <w:rPr>
          <w:rFonts w:cstheme="minorHAnsi"/>
          <w:bCs/>
          <w:i/>
        </w:rPr>
      </w:pPr>
      <w:r w:rsidRPr="00855C17">
        <w:rPr>
          <w:rFonts w:cstheme="minorHAnsi"/>
          <w:bCs/>
          <w:i/>
        </w:rPr>
        <w:t xml:space="preserve">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 </w:t>
      </w:r>
    </w:p>
    <w:p w:rsidR="00855C17" w:rsidRPr="00855C17" w:rsidRDefault="00855C17" w:rsidP="00855C17">
      <w:pPr>
        <w:jc w:val="both"/>
        <w:rPr>
          <w:rFonts w:cstheme="minorHAnsi"/>
          <w:bCs/>
        </w:rPr>
      </w:pPr>
      <w:r w:rsidRPr="00855C17">
        <w:rPr>
          <w:rFonts w:cstheme="minorHAnsi"/>
          <w:bCs/>
        </w:rPr>
        <w:t xml:space="preserve">The </w:t>
      </w:r>
      <w:r w:rsidR="005F6B41">
        <w:rPr>
          <w:rFonts w:cstheme="minorHAnsi"/>
          <w:bCs/>
        </w:rPr>
        <w:t xml:space="preserve">Mauritius </w:t>
      </w:r>
      <w:r w:rsidRPr="00855C17">
        <w:rPr>
          <w:rFonts w:cstheme="minorHAnsi"/>
          <w:bCs/>
        </w:rPr>
        <w:t>Country Team does no specific work on housing.</w:t>
      </w:r>
    </w:p>
    <w:p w:rsidR="005F6B41" w:rsidRPr="005F6B41" w:rsidRDefault="005F6B41" w:rsidP="005F6B41">
      <w:pPr>
        <w:jc w:val="both"/>
        <w:rPr>
          <w:rFonts w:cstheme="minorHAnsi"/>
          <w:b/>
          <w:bCs/>
          <w:i/>
        </w:rPr>
      </w:pPr>
      <w:r w:rsidRPr="005F6B41">
        <w:rPr>
          <w:rFonts w:cstheme="minorHAnsi"/>
          <w:b/>
          <w:bCs/>
          <w:i/>
        </w:rPr>
        <w:t>United Nations Development Assistance Framework (UNDAF)</w:t>
      </w:r>
      <w:r w:rsidRPr="005F6B41">
        <w:rPr>
          <w:rFonts w:cstheme="minorHAnsi"/>
          <w:b/>
          <w:bCs/>
          <w:i/>
          <w:vertAlign w:val="superscript"/>
        </w:rPr>
        <w:footnoteReference w:id="9"/>
      </w:r>
    </w:p>
    <w:p w:rsidR="005F6B41" w:rsidRPr="005F6B41" w:rsidRDefault="005F6B41" w:rsidP="005F6B41">
      <w:pPr>
        <w:jc w:val="both"/>
        <w:rPr>
          <w:rFonts w:cstheme="minorHAnsi"/>
          <w:bCs/>
          <w:i/>
        </w:rPr>
      </w:pPr>
      <w:r w:rsidRPr="005F6B41">
        <w:rPr>
          <w:rFonts w:cstheme="minorHAnsi"/>
          <w:bCs/>
          <w:i/>
        </w:rPr>
        <w:t xml:space="preserve">The UNDAF is the strategic programme framework that describes the collective response of the UN system to national development priorities. The UNDAF forms the overall framework for the UNCT’s work in Mauritius between 2013 and 2016. This section should include any specific recommendations made in regards to housing. </w:t>
      </w:r>
    </w:p>
    <w:p w:rsidR="005F6B41" w:rsidRPr="005F6B41" w:rsidRDefault="005F6B41" w:rsidP="005F6B41">
      <w:pPr>
        <w:jc w:val="both"/>
        <w:rPr>
          <w:rFonts w:cstheme="minorHAnsi"/>
          <w:bCs/>
        </w:rPr>
      </w:pPr>
      <w:r w:rsidRPr="005F6B41">
        <w:rPr>
          <w:rFonts w:cstheme="minorHAnsi"/>
          <w:bCs/>
        </w:rPr>
        <w:t xml:space="preserve">The Mauritius UNDAF contains no references </w:t>
      </w:r>
      <w:r>
        <w:rPr>
          <w:rFonts w:cstheme="minorHAnsi"/>
          <w:bCs/>
        </w:rPr>
        <w:t xml:space="preserve">to the right to adequate </w:t>
      </w:r>
      <w:r w:rsidRPr="005F6B41">
        <w:rPr>
          <w:rFonts w:cstheme="minorHAnsi"/>
          <w:bCs/>
        </w:rPr>
        <w:t>housing</w:t>
      </w:r>
      <w:r>
        <w:rPr>
          <w:rFonts w:cstheme="minorHAnsi"/>
          <w:bCs/>
        </w:rPr>
        <w:t>.</w:t>
      </w:r>
    </w:p>
    <w:p w:rsidR="001158E4" w:rsidRPr="00895B84" w:rsidRDefault="001158E4" w:rsidP="00777A56">
      <w:pPr>
        <w:jc w:val="both"/>
        <w:rPr>
          <w:rFonts w:cstheme="minorHAnsi"/>
          <w:bCs/>
        </w:rPr>
      </w:pPr>
      <w:r w:rsidRPr="001B7B83">
        <w:rPr>
          <w:b/>
          <w:sz w:val="28"/>
        </w:rPr>
        <w:t>UN-Habitat</w:t>
      </w:r>
      <w:r w:rsidR="00777A56">
        <w:rPr>
          <w:rStyle w:val="FootnoteReference"/>
          <w:b/>
          <w:sz w:val="28"/>
        </w:rPr>
        <w:footnoteReference w:id="10"/>
      </w:r>
    </w:p>
    <w:p w:rsidR="005F6B41" w:rsidRPr="005F6B41" w:rsidRDefault="005F6B41" w:rsidP="005F6B41">
      <w:pPr>
        <w:jc w:val="both"/>
        <w:rPr>
          <w:rFonts w:cstheme="minorHAnsi"/>
          <w:bCs/>
          <w:color w:val="000000"/>
        </w:rPr>
      </w:pPr>
      <w:r>
        <w:rPr>
          <w:rFonts w:cstheme="minorHAnsi"/>
          <w:bCs/>
          <w:color w:val="000000"/>
        </w:rPr>
        <w:t xml:space="preserve"> </w:t>
      </w:r>
      <w:r w:rsidRPr="005F6B41">
        <w:rPr>
          <w:rFonts w:cstheme="minorHAnsi"/>
          <w:bCs/>
          <w:color w:val="000000"/>
        </w:rPr>
        <w:t>UN-Habitat has produced the following publications on Mauritius:</w:t>
      </w:r>
    </w:p>
    <w:p w:rsidR="005F6B41" w:rsidRPr="00A93E33" w:rsidRDefault="005F6B41" w:rsidP="00684E92">
      <w:pPr>
        <w:pStyle w:val="NoSpacing"/>
        <w:numPr>
          <w:ilvl w:val="0"/>
          <w:numId w:val="19"/>
        </w:numPr>
      </w:pPr>
      <w:r w:rsidRPr="00A93E33">
        <w:t>Mauritius: National Urban Profile</w:t>
      </w:r>
      <w:r w:rsidRPr="00A93E33">
        <w:rPr>
          <w:vertAlign w:val="superscript"/>
        </w:rPr>
        <w:footnoteReference w:id="11"/>
      </w:r>
    </w:p>
    <w:p w:rsidR="005F6B41" w:rsidRPr="00A93E33" w:rsidRDefault="005F6B41" w:rsidP="00684E92">
      <w:pPr>
        <w:pStyle w:val="NoSpacing"/>
        <w:numPr>
          <w:ilvl w:val="0"/>
          <w:numId w:val="19"/>
        </w:numPr>
      </w:pPr>
      <w:r w:rsidRPr="00A93E33">
        <w:t>Mauritius: Black River Urban Profile</w:t>
      </w:r>
      <w:r w:rsidRPr="00A93E33">
        <w:rPr>
          <w:vertAlign w:val="superscript"/>
        </w:rPr>
        <w:footnoteReference w:id="12"/>
      </w:r>
    </w:p>
    <w:p w:rsidR="005F6B41" w:rsidRPr="00A93E33" w:rsidRDefault="005F6B41" w:rsidP="00684E92">
      <w:pPr>
        <w:pStyle w:val="NoSpacing"/>
        <w:numPr>
          <w:ilvl w:val="0"/>
          <w:numId w:val="19"/>
        </w:numPr>
      </w:pPr>
      <w:r w:rsidRPr="00A93E33">
        <w:t xml:space="preserve">Mauritius: Beau </w:t>
      </w:r>
      <w:proofErr w:type="spellStart"/>
      <w:r w:rsidRPr="00A93E33">
        <w:t>Bassin</w:t>
      </w:r>
      <w:proofErr w:type="spellEnd"/>
      <w:r w:rsidRPr="00A93E33">
        <w:t>-Rose Hill Urban Profile</w:t>
      </w:r>
      <w:r w:rsidRPr="00A93E33">
        <w:rPr>
          <w:vertAlign w:val="superscript"/>
        </w:rPr>
        <w:footnoteReference w:id="13"/>
      </w:r>
    </w:p>
    <w:p w:rsidR="00E25784" w:rsidRPr="00684E92" w:rsidRDefault="005F6B41" w:rsidP="00684E92">
      <w:pPr>
        <w:pStyle w:val="NoSpacing"/>
        <w:numPr>
          <w:ilvl w:val="0"/>
          <w:numId w:val="19"/>
        </w:numPr>
        <w:rPr>
          <w:b/>
          <w:sz w:val="28"/>
        </w:rPr>
      </w:pPr>
      <w:r w:rsidRPr="00A93E33">
        <w:t>Mauritius: Port Louis Urban Profile</w:t>
      </w:r>
      <w:r w:rsidR="00A93E33">
        <w:t>.</w:t>
      </w:r>
      <w:r w:rsidRPr="00A93E33">
        <w:rPr>
          <w:vertAlign w:val="superscript"/>
        </w:rPr>
        <w:footnoteReference w:id="14"/>
      </w:r>
      <w:bookmarkStart w:id="0" w:name="_GoBack"/>
      <w:bookmarkEnd w:id="0"/>
      <w:r w:rsidR="00E25784" w:rsidRPr="00684E92">
        <w:rPr>
          <w:b/>
          <w:sz w:val="28"/>
        </w:rPr>
        <w:br w:type="page"/>
      </w:r>
    </w:p>
    <w:p w:rsidR="00AE01C9" w:rsidRPr="00296801" w:rsidRDefault="00AE01C9" w:rsidP="002250DD">
      <w:pPr>
        <w:rPr>
          <w:b/>
          <w:sz w:val="28"/>
        </w:rPr>
      </w:pPr>
      <w:r w:rsidRPr="00296801">
        <w:rPr>
          <w:b/>
          <w:sz w:val="28"/>
        </w:rPr>
        <w:lastRenderedPageBreak/>
        <w:t>Further Information</w:t>
      </w:r>
    </w:p>
    <w:p w:rsidR="00895B84" w:rsidRDefault="003315CC" w:rsidP="00895B84">
      <w:pPr>
        <w:pStyle w:val="ListParagraph"/>
        <w:numPr>
          <w:ilvl w:val="0"/>
          <w:numId w:val="9"/>
        </w:numPr>
      </w:pPr>
      <w:r>
        <w:t>Constitution of Mauritius</w:t>
      </w:r>
      <w:r w:rsidR="00895B84">
        <w:t xml:space="preserve">: </w:t>
      </w:r>
      <w:r>
        <w:t xml:space="preserve"> </w:t>
      </w:r>
      <w:hyperlink r:id="rId13" w:history="1">
        <w:r w:rsidR="00E25784" w:rsidRPr="005A6F14">
          <w:rPr>
            <w:rStyle w:val="Hyperlink"/>
          </w:rPr>
          <w:t>http://mauritiusassembly.govmu.org/English/constitution/Pages/default.aspx</w:t>
        </w:r>
      </w:hyperlink>
    </w:p>
    <w:p w:rsidR="00184BED" w:rsidRPr="00184BED" w:rsidRDefault="006B012B" w:rsidP="00184BED">
      <w:pPr>
        <w:pStyle w:val="ListParagraph"/>
        <w:numPr>
          <w:ilvl w:val="0"/>
          <w:numId w:val="9"/>
        </w:numPr>
        <w:rPr>
          <w:color w:val="0000FF" w:themeColor="hyperlink"/>
          <w:u w:val="single"/>
          <w:lang w:val="en-US"/>
        </w:rPr>
      </w:pPr>
      <w:r>
        <w:t>Universal Periodic Review</w:t>
      </w:r>
      <w:r w:rsidR="00895B84">
        <w:t xml:space="preserve">: </w:t>
      </w:r>
      <w:hyperlink r:id="rId14" w:history="1"/>
      <w:r w:rsidR="003315CC">
        <w:rPr>
          <w:rStyle w:val="Hyperlink"/>
        </w:rPr>
        <w:t xml:space="preserve"> </w:t>
      </w:r>
      <w:hyperlink r:id="rId15" w:history="1">
        <w:r w:rsidR="00184BED" w:rsidRPr="00184BED">
          <w:rPr>
            <w:rStyle w:val="Hyperlink"/>
          </w:rPr>
          <w:t>http://www.ohchr.org/EN/HRBodies/UPR/Pages/MUSession4.aspx</w:t>
        </w:r>
      </w:hyperlink>
      <w:r w:rsidR="00184BED" w:rsidRPr="00184BED">
        <w:rPr>
          <w:color w:val="0000FF" w:themeColor="hyperlink"/>
          <w:u w:val="single"/>
        </w:rPr>
        <w:t xml:space="preserve">  </w:t>
      </w:r>
      <w:hyperlink r:id="rId16" w:history="1"/>
      <w:r w:rsidR="00184BED" w:rsidRPr="00184BED">
        <w:rPr>
          <w:color w:val="0000FF" w:themeColor="hyperlink"/>
          <w:u w:val="single"/>
        </w:rPr>
        <w:t xml:space="preserve">   </w:t>
      </w:r>
    </w:p>
    <w:p w:rsidR="00184BED" w:rsidRPr="00184BED" w:rsidRDefault="006B012B" w:rsidP="00184BED">
      <w:pPr>
        <w:pStyle w:val="ListParagraph"/>
        <w:numPr>
          <w:ilvl w:val="0"/>
          <w:numId w:val="9"/>
        </w:numPr>
        <w:rPr>
          <w:lang w:val="en-US"/>
        </w:rPr>
      </w:pPr>
      <w:r w:rsidRPr="006B012B">
        <w:rPr>
          <w:bCs/>
        </w:rPr>
        <w:t>Report of the United Nations High Commissioner for Human Rights</w:t>
      </w:r>
      <w:r>
        <w:rPr>
          <w:bCs/>
        </w:rPr>
        <w:t xml:space="preserve">: </w:t>
      </w:r>
      <w:r>
        <w:t xml:space="preserve"> </w:t>
      </w:r>
      <w:r w:rsidR="003315CC">
        <w:t xml:space="preserve"> </w:t>
      </w:r>
      <w:hyperlink r:id="rId17" w:history="1">
        <w:r w:rsidR="00184BED" w:rsidRPr="00504DFC">
          <w:rPr>
            <w:rStyle w:val="Hyperlink"/>
          </w:rPr>
          <w:t>http://www.ohchr.org/EN/HRBodies/UPR/Pages/MUSession17.aspx</w:t>
        </w:r>
      </w:hyperlink>
      <w:r w:rsidR="00184BED">
        <w:rPr>
          <w:u w:val="single"/>
        </w:rPr>
        <w:t xml:space="preserve"> </w:t>
      </w:r>
      <w:r w:rsidR="00184BED" w:rsidRPr="00184BED">
        <w:t xml:space="preserve">  </w:t>
      </w:r>
      <w:r w:rsidR="00184BED">
        <w:t xml:space="preserve"> </w:t>
      </w:r>
      <w:r w:rsidR="00184BED" w:rsidRPr="00184BED">
        <w:t xml:space="preserve"> </w:t>
      </w:r>
    </w:p>
    <w:p w:rsidR="00184BED" w:rsidRPr="00184BED" w:rsidRDefault="006B012B" w:rsidP="00184BED">
      <w:pPr>
        <w:pStyle w:val="ListParagraph"/>
        <w:numPr>
          <w:ilvl w:val="0"/>
          <w:numId w:val="9"/>
        </w:numPr>
        <w:rPr>
          <w:lang w:val="en-US"/>
        </w:rPr>
      </w:pPr>
      <w:r>
        <w:t xml:space="preserve">UNCT: </w:t>
      </w:r>
      <w:r w:rsidR="003315CC">
        <w:t xml:space="preserve"> </w:t>
      </w:r>
      <w:hyperlink r:id="rId18" w:history="1">
        <w:r w:rsidR="00184BED" w:rsidRPr="00504DFC">
          <w:rPr>
            <w:rStyle w:val="Hyperlink"/>
          </w:rPr>
          <w:t>http://undg.org/home/country-teams/africa-western-central/mauritius/</w:t>
        </w:r>
      </w:hyperlink>
    </w:p>
    <w:p w:rsidR="00184BED" w:rsidRPr="00184BED" w:rsidRDefault="00184BED" w:rsidP="00184BED">
      <w:pPr>
        <w:pStyle w:val="ListParagraph"/>
        <w:numPr>
          <w:ilvl w:val="0"/>
          <w:numId w:val="9"/>
        </w:numPr>
      </w:pPr>
      <w:r>
        <w:t>U</w:t>
      </w:r>
      <w:r w:rsidR="00296801" w:rsidRPr="00296801">
        <w:t>NDAF:</w:t>
      </w:r>
      <w:r w:rsidR="00296801" w:rsidRPr="00184BED">
        <w:rPr>
          <w:b/>
        </w:rPr>
        <w:t xml:space="preserve"> </w:t>
      </w:r>
      <w:r w:rsidR="003315CC">
        <w:t xml:space="preserve"> </w:t>
      </w:r>
      <w:r w:rsidR="006B012B">
        <w:t xml:space="preserve"> </w:t>
      </w:r>
      <w:r w:rsidR="00895B84">
        <w:t xml:space="preserve"> </w:t>
      </w:r>
      <w:hyperlink r:id="rId19" w:history="1">
        <w:r w:rsidRPr="00504DFC">
          <w:rPr>
            <w:rStyle w:val="Hyperlink"/>
          </w:rPr>
          <w:t>http://www.undp.org/content/dam/rba/docs/Programme%20Documents/Mauritius%20CPD%202013-2016%20(en).pdf</w:t>
        </w:r>
      </w:hyperlink>
      <w:r>
        <w:t xml:space="preserve"> </w:t>
      </w:r>
    </w:p>
    <w:p w:rsidR="00895B84" w:rsidRDefault="00184BED" w:rsidP="00895B84">
      <w:pPr>
        <w:pStyle w:val="ListParagraph"/>
        <w:numPr>
          <w:ilvl w:val="0"/>
          <w:numId w:val="9"/>
        </w:numPr>
      </w:pPr>
      <w:r>
        <w:t>CESR:</w:t>
      </w:r>
      <w:r w:rsidRPr="00184BED">
        <w:rPr>
          <w:sz w:val="18"/>
        </w:rPr>
        <w:t xml:space="preserve"> </w:t>
      </w:r>
      <w:hyperlink r:id="rId20" w:history="1">
        <w:r w:rsidRPr="00504DFC">
          <w:rPr>
            <w:rStyle w:val="Hyperlink"/>
          </w:rPr>
          <w:t>http://tbinternet.ohchr.org/_layouts/treatybodyexternal/Download.aspx?symbolno=E/C.12/MUS/CO/4&amp;Lang=En</w:t>
        </w:r>
      </w:hyperlink>
      <w:r>
        <w:t xml:space="preserve"> </w:t>
      </w:r>
      <w:r w:rsidRPr="00184BED">
        <w:t xml:space="preserve"> </w:t>
      </w:r>
      <w:r>
        <w:t xml:space="preserve">  </w:t>
      </w:r>
    </w:p>
    <w:p w:rsidR="00296801" w:rsidRPr="00296801" w:rsidRDefault="00296801" w:rsidP="00895B84">
      <w:pPr>
        <w:pStyle w:val="ListParagraph"/>
        <w:numPr>
          <w:ilvl w:val="0"/>
          <w:numId w:val="9"/>
        </w:numPr>
      </w:pPr>
      <w:r>
        <w:t>UN-Habitat</w:t>
      </w:r>
      <w:r w:rsidR="003315CC">
        <w:t xml:space="preserve"> Mauritius S</w:t>
      </w:r>
      <w:r>
        <w:t xml:space="preserve">ummary: </w:t>
      </w:r>
      <w:hyperlink r:id="rId21" w:history="1">
        <w:r w:rsidR="00184BED" w:rsidRPr="00504DFC">
          <w:rPr>
            <w:rStyle w:val="Hyperlink"/>
          </w:rPr>
          <w:t>http://mirror.unhabitat.org/content.asp?cid=10996&amp;catid=592&amp;typeid=79</w:t>
        </w:r>
      </w:hyperlink>
      <w:r w:rsidR="00184BED">
        <w:rPr>
          <w:u w:val="single"/>
        </w:rPr>
        <w:t xml:space="preserve"> </w:t>
      </w:r>
      <w:r w:rsidR="00184BED" w:rsidRPr="00184BED">
        <w:t xml:space="preserve">  </w:t>
      </w:r>
      <w:r w:rsidR="00184BED">
        <w:t xml:space="preserve"> </w:t>
      </w:r>
      <w:hyperlink r:id="rId22" w:history="1"/>
      <w:hyperlink r:id="rId23" w:history="1"/>
      <w:r w:rsidR="00536263">
        <w:rPr>
          <w:rStyle w:val="Hyperlink"/>
        </w:rPr>
        <w:t xml:space="preserve"> </w:t>
      </w:r>
      <w:r w:rsidR="006B012B">
        <w:t xml:space="preserve"> </w:t>
      </w:r>
      <w:hyperlink r:id="rId24" w:history="1"/>
      <w:r w:rsidR="003315CC">
        <w:rPr>
          <w:rStyle w:val="Hyperlink"/>
        </w:rPr>
        <w:t xml:space="preserve"> </w:t>
      </w:r>
      <w:r w:rsidR="006B012B">
        <w:rPr>
          <w:u w:val="single"/>
        </w:rPr>
        <w:t xml:space="preserve"> </w:t>
      </w:r>
      <w:r w:rsidR="006B012B" w:rsidRPr="006B012B">
        <w:t xml:space="preserve"> </w:t>
      </w:r>
      <w:r w:rsidR="006B012B">
        <w:t xml:space="preserve"> </w:t>
      </w:r>
      <w:r w:rsidR="006B012B" w:rsidRPr="006B012B">
        <w:t xml:space="preserve"> </w:t>
      </w:r>
    </w:p>
    <w:p w:rsidR="00093B40" w:rsidRPr="00093B40" w:rsidRDefault="00A80161" w:rsidP="00093B40">
      <w:pPr>
        <w:pStyle w:val="ListParagraph"/>
        <w:numPr>
          <w:ilvl w:val="0"/>
          <w:numId w:val="8"/>
        </w:numPr>
        <w:rPr>
          <w:lang w:val="pt-BR"/>
        </w:rPr>
      </w:pPr>
      <w:r>
        <w:t xml:space="preserve">UN-OHCHR: </w:t>
      </w:r>
      <w:hyperlink r:id="rId25" w:history="1">
        <w:r w:rsidR="00093B40" w:rsidRPr="009B7D6D">
          <w:rPr>
            <w:rStyle w:val="Hyperlink"/>
          </w:rPr>
          <w:t>http://www.ohchr.org/EN/Pages/WelcomePage.aspx</w:t>
        </w:r>
      </w:hyperlink>
      <w:r w:rsidR="00093B40">
        <w:t xml:space="preserve"> </w:t>
      </w:r>
    </w:p>
    <w:p w:rsidR="00A80161" w:rsidRPr="00093B40" w:rsidRDefault="00093B40" w:rsidP="00093B40">
      <w:pPr>
        <w:pStyle w:val="ListParagraph"/>
        <w:numPr>
          <w:ilvl w:val="0"/>
          <w:numId w:val="8"/>
        </w:numPr>
        <w:rPr>
          <w:rStyle w:val="Hyperlink"/>
          <w:color w:val="auto"/>
          <w:u w:val="none"/>
          <w:lang w:val="pt-BR"/>
        </w:rPr>
      </w:pPr>
      <w:r>
        <w:t>U</w:t>
      </w:r>
      <w:r w:rsidR="00A80161" w:rsidRPr="00093B40">
        <w:rPr>
          <w:lang w:val="pt-BR"/>
        </w:rPr>
        <w:t xml:space="preserve">N-Habitat: </w:t>
      </w:r>
      <w:hyperlink r:id="rId26" w:history="1">
        <w:r w:rsidR="00A80161" w:rsidRPr="00093B40">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7"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0B7719">
        <w:t xml:space="preserve"> on Adequate Housing</w:t>
      </w:r>
      <w:r>
        <w:t xml:space="preserve">: </w:t>
      </w:r>
      <w:hyperlink r:id="rId28" w:history="1">
        <w:r w:rsidRPr="00C57DBD">
          <w:rPr>
            <w:rStyle w:val="Hyperlink"/>
          </w:rPr>
          <w:t>http://www.ohchr.org/EN/Issues/Housing/Pages/HousingIndex.aspx</w:t>
        </w:r>
      </w:hyperlink>
      <w:r>
        <w:t xml:space="preserve"> </w:t>
      </w:r>
    </w:p>
    <w:p w:rsidR="00A80161" w:rsidRPr="00296801" w:rsidRDefault="00A80161" w:rsidP="002250DD">
      <w:pPr>
        <w:ind w:left="360"/>
      </w:pPr>
    </w:p>
    <w:p w:rsidR="00184BED" w:rsidRPr="00184BED" w:rsidRDefault="00184BED" w:rsidP="00184BED">
      <w:pPr>
        <w:rPr>
          <w:bCs/>
          <w:sz w:val="18"/>
        </w:rPr>
      </w:pPr>
      <w:r>
        <w:rPr>
          <w:sz w:val="18"/>
          <w:u w:val="single"/>
        </w:rPr>
        <w:t xml:space="preserve"> </w:t>
      </w:r>
    </w:p>
    <w:p w:rsidR="00184BED" w:rsidRPr="00296801" w:rsidRDefault="00184BED">
      <w:pPr>
        <w:rPr>
          <w:sz w:val="18"/>
        </w:rPr>
      </w:pPr>
    </w:p>
    <w:sectPr w:rsidR="00184BED" w:rsidRPr="00296801" w:rsidSect="007C4F87">
      <w:headerReference w:type="default" r:id="rId29"/>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5F" w:rsidRDefault="00AF4B5F" w:rsidP="00E70BF1">
      <w:pPr>
        <w:spacing w:after="0" w:line="240" w:lineRule="auto"/>
      </w:pPr>
      <w:r>
        <w:separator/>
      </w:r>
    </w:p>
  </w:endnote>
  <w:endnote w:type="continuationSeparator" w:id="0">
    <w:p w:rsidR="00AF4B5F" w:rsidRDefault="00AF4B5F"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5F" w:rsidRDefault="00AF4B5F" w:rsidP="00E70BF1">
      <w:pPr>
        <w:spacing w:after="0" w:line="240" w:lineRule="auto"/>
      </w:pPr>
      <w:r>
        <w:separator/>
      </w:r>
    </w:p>
  </w:footnote>
  <w:footnote w:type="continuationSeparator" w:id="0">
    <w:p w:rsidR="00AF4B5F" w:rsidRDefault="00AF4B5F" w:rsidP="00E70BF1">
      <w:pPr>
        <w:spacing w:after="0" w:line="240" w:lineRule="auto"/>
      </w:pPr>
      <w:r>
        <w:continuationSeparator/>
      </w:r>
    </w:p>
  </w:footnote>
  <w:footnote w:id="1">
    <w:p w:rsidR="003315CC" w:rsidRPr="00F069CC" w:rsidRDefault="003315CC" w:rsidP="00637EFF">
      <w:pPr>
        <w:pStyle w:val="FootnoteText"/>
        <w:rPr>
          <w:lang w:val="en-US"/>
        </w:rPr>
      </w:pPr>
      <w:r>
        <w:rPr>
          <w:rStyle w:val="FootnoteReference"/>
        </w:rPr>
        <w:footnoteRef/>
      </w:r>
      <w:r>
        <w:t xml:space="preserve"> </w:t>
      </w:r>
      <w:hyperlink r:id="rId1" w:history="1">
        <w:r w:rsidRPr="005A6F14">
          <w:rPr>
            <w:rStyle w:val="Hyperlink"/>
          </w:rPr>
          <w:t>http://mauritiusassembly.govmu.org/English/constitution/Pages/default.aspx</w:t>
        </w:r>
      </w:hyperlink>
    </w:p>
  </w:footnote>
  <w:footnote w:id="2">
    <w:p w:rsidR="003315CC" w:rsidRPr="00CB0624" w:rsidRDefault="003315CC" w:rsidP="00637EFF">
      <w:pPr>
        <w:pStyle w:val="FootnoteText"/>
        <w:rPr>
          <w:lang w:val="en-US"/>
        </w:rPr>
      </w:pPr>
      <w:r>
        <w:rPr>
          <w:rStyle w:val="FootnoteReference"/>
        </w:rPr>
        <w:footnoteRef/>
      </w:r>
      <w:r>
        <w:t xml:space="preserve"> </w:t>
      </w:r>
      <w:hyperlink r:id="rId2" w:history="1">
        <w:r w:rsidRPr="005A6F14">
          <w:rPr>
            <w:rStyle w:val="Hyperlink"/>
          </w:rPr>
          <w:t>http://housing.govmu.org/English/Pages/default.aspx</w:t>
        </w:r>
      </w:hyperlink>
    </w:p>
  </w:footnote>
  <w:footnote w:id="3">
    <w:p w:rsidR="003315CC" w:rsidRPr="00376665" w:rsidRDefault="003315CC">
      <w:pPr>
        <w:pStyle w:val="FootnoteText"/>
        <w:rPr>
          <w:lang w:val="en-US"/>
        </w:rPr>
      </w:pPr>
      <w:r>
        <w:rPr>
          <w:rStyle w:val="FootnoteReference"/>
        </w:rPr>
        <w:footnoteRef/>
      </w:r>
      <w:r>
        <w:t xml:space="preserve"> </w:t>
      </w:r>
      <w:hyperlink r:id="rId3" w:history="1">
        <w:r w:rsidRPr="005A6F14">
          <w:rPr>
            <w:rStyle w:val="Hyperlink"/>
          </w:rPr>
          <w:t>http://indicators.ohchr.org/</w:t>
        </w:r>
      </w:hyperlink>
    </w:p>
  </w:footnote>
  <w:footnote w:id="4">
    <w:p w:rsidR="003315CC" w:rsidRPr="00BF207E" w:rsidRDefault="003315CC" w:rsidP="00855C17">
      <w:pPr>
        <w:pStyle w:val="FootnoteText"/>
        <w:rPr>
          <w:lang w:val="en-US"/>
        </w:rPr>
      </w:pPr>
      <w:r>
        <w:rPr>
          <w:rStyle w:val="FootnoteReference"/>
        </w:rPr>
        <w:footnoteRef/>
      </w:r>
      <w:hyperlink r:id="rId4" w:history="1">
        <w:r w:rsidRPr="00504DFC">
          <w:rPr>
            <w:rStyle w:val="Hyperlink"/>
          </w:rPr>
          <w:t>http://www.ohchr.org/EN/HRBodies/UPR/Pages/MUSession4.aspx</w:t>
        </w:r>
      </w:hyperlink>
      <w:r>
        <w:t xml:space="preserve">  </w:t>
      </w:r>
      <w:hyperlink r:id="rId5" w:history="1"/>
      <w:r>
        <w:rPr>
          <w:rStyle w:val="Hyperlink"/>
        </w:rPr>
        <w:t xml:space="preserve"> </w:t>
      </w:r>
      <w:r>
        <w:t xml:space="preserve">  </w:t>
      </w:r>
    </w:p>
  </w:footnote>
  <w:footnote w:id="5">
    <w:p w:rsidR="003315CC" w:rsidRPr="00C4509D" w:rsidRDefault="003315CC">
      <w:pPr>
        <w:pStyle w:val="FootnoteText"/>
        <w:rPr>
          <w:lang w:val="en-US"/>
        </w:rPr>
      </w:pPr>
      <w:r>
        <w:rPr>
          <w:rStyle w:val="FootnoteReference"/>
        </w:rPr>
        <w:footnoteRef/>
      </w:r>
      <w:hyperlink r:id="rId6" w:history="1"/>
      <w:r>
        <w:rPr>
          <w:rStyle w:val="Hyperlink"/>
        </w:rPr>
        <w:t xml:space="preserve"> </w:t>
      </w:r>
      <w:r w:rsidRPr="005F6B41">
        <w:rPr>
          <w:rStyle w:val="Hyperlink"/>
        </w:rPr>
        <w:t>http://www.ohchr.org/EN/HRBodies/UPR/Pages/MUSession17.aspx</w:t>
      </w:r>
      <w:r>
        <w:t xml:space="preserve">   </w:t>
      </w:r>
    </w:p>
  </w:footnote>
  <w:footnote w:id="6">
    <w:p w:rsidR="003315CC" w:rsidRPr="000966A2" w:rsidRDefault="003315CC">
      <w:pPr>
        <w:pStyle w:val="FootnoteText"/>
        <w:rPr>
          <w:lang w:val="en-US"/>
        </w:rPr>
      </w:pPr>
      <w:r>
        <w:rPr>
          <w:rStyle w:val="FootnoteReference"/>
        </w:rPr>
        <w:footnoteRef/>
      </w:r>
      <w:r w:rsidR="005A6F14">
        <w:t xml:space="preserve"> </w:t>
      </w:r>
      <w:hyperlink r:id="rId7" w:history="1">
        <w:r w:rsidRPr="005A6F14">
          <w:rPr>
            <w:rStyle w:val="Hyperlink"/>
          </w:rPr>
          <w:t>http://daccess-dds-ny.un.org/doc/UNDOC/GEN/G13/162/25/PDF/G1316225.pdf?OpenElement</w:t>
        </w:r>
      </w:hyperlink>
      <w:r>
        <w:t xml:space="preserve">   </w:t>
      </w:r>
    </w:p>
  </w:footnote>
  <w:footnote w:id="7">
    <w:p w:rsidR="003315CC" w:rsidRDefault="003315CC" w:rsidP="005F6B41">
      <w:pPr>
        <w:pStyle w:val="FootnoteText"/>
        <w:rPr>
          <w:bCs/>
        </w:rPr>
      </w:pPr>
      <w:r>
        <w:rPr>
          <w:rStyle w:val="FootnoteReference"/>
        </w:rPr>
        <w:footnoteRef/>
      </w:r>
      <w:r>
        <w:rPr>
          <w:bCs/>
        </w:rPr>
        <w:t>(E/C.12/2001/10)</w:t>
      </w:r>
    </w:p>
    <w:p w:rsidR="003315CC" w:rsidRPr="00BF207E" w:rsidRDefault="005A6F14" w:rsidP="005F6B41">
      <w:pPr>
        <w:pStyle w:val="FootnoteText"/>
        <w:rPr>
          <w:lang w:val="en-US"/>
        </w:rPr>
      </w:pPr>
      <w:hyperlink r:id="rId8" w:history="1">
        <w:r w:rsidR="003315CC" w:rsidRPr="005A6F14">
          <w:rPr>
            <w:rStyle w:val="Hyperlink"/>
          </w:rPr>
          <w:t>http://tbinternet.ohchr.org/_layouts/treatybodyexternal/Download.aspx?symbolno=E/C.12/MUS/CO/4&amp;Lang=En</w:t>
        </w:r>
      </w:hyperlink>
    </w:p>
  </w:footnote>
  <w:footnote w:id="8">
    <w:p w:rsidR="003315CC" w:rsidRPr="00BF207E" w:rsidRDefault="003315CC" w:rsidP="00855C17">
      <w:pPr>
        <w:pStyle w:val="FootnoteText"/>
        <w:rPr>
          <w:lang w:val="en-US"/>
        </w:rPr>
      </w:pPr>
      <w:r>
        <w:rPr>
          <w:rStyle w:val="FootnoteReference"/>
        </w:rPr>
        <w:footnoteRef/>
      </w:r>
      <w:r>
        <w:t xml:space="preserve">  </w:t>
      </w:r>
      <w:hyperlink r:id="rId9" w:history="1">
        <w:r w:rsidRPr="005A6F14">
          <w:rPr>
            <w:rStyle w:val="Hyperlink"/>
          </w:rPr>
          <w:t>http://undg.org/home/country-teams/africa-western-central/mauritius/</w:t>
        </w:r>
      </w:hyperlink>
    </w:p>
  </w:footnote>
  <w:footnote w:id="9">
    <w:p w:rsidR="003315CC" w:rsidRPr="00BF207E" w:rsidRDefault="003315CC" w:rsidP="005F6B41">
      <w:pPr>
        <w:pStyle w:val="FootnoteText"/>
        <w:rPr>
          <w:lang w:val="en-US"/>
        </w:rPr>
      </w:pPr>
      <w:r>
        <w:rPr>
          <w:rStyle w:val="FootnoteReference"/>
        </w:rPr>
        <w:footnoteRef/>
      </w:r>
      <w:r>
        <w:t xml:space="preserve"> </w:t>
      </w:r>
      <w:hyperlink r:id="rId10" w:history="1">
        <w:r w:rsidRPr="005A6F14">
          <w:rPr>
            <w:rStyle w:val="Hyperlink"/>
          </w:rPr>
          <w:t>http://www.undp.org/content/dam/rba/docs/Programme%20Documents/Mauritius%20CPD%202013-2016%20(en).pdf</w:t>
        </w:r>
      </w:hyperlink>
    </w:p>
  </w:footnote>
  <w:footnote w:id="10">
    <w:p w:rsidR="003315CC" w:rsidRPr="00777A56" w:rsidRDefault="003315CC">
      <w:pPr>
        <w:pStyle w:val="FootnoteText"/>
        <w:rPr>
          <w:lang w:val="en-US"/>
        </w:rPr>
      </w:pPr>
      <w:r>
        <w:rPr>
          <w:rStyle w:val="FootnoteReference"/>
        </w:rPr>
        <w:footnoteRef/>
      </w:r>
      <w:r>
        <w:t xml:space="preserve"> </w:t>
      </w:r>
      <w:hyperlink w:history="1"/>
      <w:r>
        <w:rPr>
          <w:rStyle w:val="Hyperlink"/>
        </w:rPr>
        <w:t xml:space="preserve"> </w:t>
      </w:r>
      <w:r w:rsidRPr="00895B84">
        <w:rPr>
          <w:rStyle w:val="Hyperlink"/>
        </w:rPr>
        <w:t>http://mirror.unhabitat.org/content.asp?cid=10996&amp;catid=592&amp;typeid=79</w:t>
      </w:r>
      <w:r w:rsidRPr="00866355">
        <w:t xml:space="preserve"> </w:t>
      </w:r>
      <w:r>
        <w:t xml:space="preserve"> </w:t>
      </w:r>
    </w:p>
  </w:footnote>
  <w:footnote w:id="11">
    <w:p w:rsidR="003315CC" w:rsidRPr="00E96E30" w:rsidRDefault="003315CC" w:rsidP="005F6B41">
      <w:pPr>
        <w:pStyle w:val="FootnoteText"/>
        <w:rPr>
          <w:lang w:val="en-US"/>
        </w:rPr>
      </w:pPr>
      <w:r>
        <w:rPr>
          <w:rStyle w:val="FootnoteReference"/>
        </w:rPr>
        <w:footnoteRef/>
      </w:r>
      <w:r>
        <w:t xml:space="preserve"> </w:t>
      </w:r>
      <w:hyperlink r:id="rId11" w:history="1">
        <w:r w:rsidRPr="005A6F14">
          <w:rPr>
            <w:rStyle w:val="Hyperlink"/>
          </w:rPr>
          <w:t>http://unhabitat.org/books/mauritius-national-urban-profile/</w:t>
        </w:r>
      </w:hyperlink>
    </w:p>
  </w:footnote>
  <w:footnote w:id="12">
    <w:p w:rsidR="003315CC" w:rsidRPr="00E96E30" w:rsidRDefault="003315CC" w:rsidP="005F6B41">
      <w:pPr>
        <w:pStyle w:val="FootnoteText"/>
        <w:rPr>
          <w:lang w:val="en-US"/>
        </w:rPr>
      </w:pPr>
      <w:r>
        <w:rPr>
          <w:rStyle w:val="FootnoteReference"/>
        </w:rPr>
        <w:footnoteRef/>
      </w:r>
      <w:r>
        <w:t xml:space="preserve"> </w:t>
      </w:r>
      <w:hyperlink r:id="rId12" w:history="1">
        <w:r w:rsidRPr="005A6F14">
          <w:rPr>
            <w:rStyle w:val="Hyperlink"/>
          </w:rPr>
          <w:t>http://unhabitat.org/books/black-river-urban-profile-mauritius/</w:t>
        </w:r>
      </w:hyperlink>
    </w:p>
  </w:footnote>
  <w:footnote w:id="13">
    <w:p w:rsidR="003315CC" w:rsidRPr="00B1371F" w:rsidRDefault="003315CC" w:rsidP="005F6B41">
      <w:pPr>
        <w:pStyle w:val="FootnoteText"/>
        <w:rPr>
          <w:lang w:val="en-US"/>
        </w:rPr>
      </w:pPr>
      <w:r>
        <w:rPr>
          <w:rStyle w:val="FootnoteReference"/>
        </w:rPr>
        <w:footnoteRef/>
      </w:r>
      <w:r>
        <w:t xml:space="preserve"> </w:t>
      </w:r>
      <w:hyperlink r:id="rId13" w:history="1">
        <w:r w:rsidRPr="005A6F14">
          <w:rPr>
            <w:rStyle w:val="Hyperlink"/>
          </w:rPr>
          <w:t>http://unhabitat.org/books/beau-bassin-rose-hill-urban-profile-mauritius/</w:t>
        </w:r>
      </w:hyperlink>
    </w:p>
  </w:footnote>
  <w:footnote w:id="14">
    <w:p w:rsidR="003315CC" w:rsidRPr="00B1371F" w:rsidRDefault="003315CC" w:rsidP="005F6B41">
      <w:pPr>
        <w:pStyle w:val="FootnoteText"/>
        <w:rPr>
          <w:lang w:val="en-US"/>
        </w:rPr>
      </w:pPr>
      <w:r>
        <w:rPr>
          <w:rStyle w:val="FootnoteReference"/>
        </w:rPr>
        <w:footnoteRef/>
      </w:r>
      <w:r>
        <w:t xml:space="preserve"> </w:t>
      </w:r>
      <w:r w:rsidRPr="00B1371F">
        <w:t>http://unhabitat.org/books/mauritius-port-louis-urban-profile/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3315CC" w:rsidRDefault="003315CC">
        <w:pPr>
          <w:pStyle w:val="Header"/>
          <w:jc w:val="center"/>
        </w:pPr>
        <w:r>
          <w:rPr>
            <w:noProof/>
            <w:lang w:val="en-US"/>
          </w:rPr>
          <w:drawing>
            <wp:anchor distT="0" distB="0" distL="114300" distR="114300" simplePos="0" relativeHeight="251660288" behindDoc="1" locked="0" layoutInCell="1" allowOverlap="1" wp14:anchorId="0823F1BC" wp14:editId="65FD7F21">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3315CC" w:rsidRPr="007C4F87" w:rsidRDefault="003315CC">
        <w:pPr>
          <w:pStyle w:val="Header"/>
          <w:jc w:val="center"/>
          <w:rPr>
            <w:b/>
            <w:color w:val="FFFFFF" w:themeColor="background1"/>
          </w:rPr>
        </w:pPr>
      </w:p>
      <w:p w:rsidR="003315CC" w:rsidRPr="007C4F87" w:rsidRDefault="003315CC" w:rsidP="007C4F87">
        <w:pPr>
          <w:jc w:val="center"/>
          <w:rPr>
            <w:b/>
            <w:color w:val="FFFFFF" w:themeColor="background1"/>
          </w:rPr>
        </w:pPr>
        <w:r>
          <w:rPr>
            <w:b/>
            <w:color w:val="FFFFFF" w:themeColor="background1"/>
          </w:rPr>
          <w:t xml:space="preserve">Housing Rights and Human Rights Brief </w:t>
        </w:r>
        <w:r w:rsidRPr="007C4F87">
          <w:rPr>
            <w:b/>
            <w:color w:val="FFFFFF" w:themeColor="background1"/>
          </w:rPr>
          <w:br/>
        </w:r>
        <w:r w:rsidRPr="007C4F87">
          <w:rPr>
            <w:b/>
            <w:color w:val="FFFFFF" w:themeColor="background1"/>
          </w:rPr>
          <w:fldChar w:fldCharType="begin"/>
        </w:r>
        <w:r w:rsidRPr="007C4F87">
          <w:rPr>
            <w:b/>
            <w:color w:val="FFFFFF" w:themeColor="background1"/>
          </w:rPr>
          <w:instrText xml:space="preserve"> PAGE   \* MERGEFORMAT </w:instrText>
        </w:r>
        <w:r w:rsidRPr="007C4F87">
          <w:rPr>
            <w:b/>
            <w:color w:val="FFFFFF" w:themeColor="background1"/>
          </w:rPr>
          <w:fldChar w:fldCharType="separate"/>
        </w:r>
        <w:r w:rsidR="00A93E33">
          <w:rPr>
            <w:b/>
            <w:noProof/>
            <w:color w:val="FFFFFF" w:themeColor="background1"/>
          </w:rPr>
          <w:t>8</w:t>
        </w:r>
        <w:r w:rsidRPr="007C4F87">
          <w:rPr>
            <w:b/>
            <w:noProof/>
            <w:color w:val="FFFFFF" w:themeColor="background1"/>
          </w:rPr>
          <w:fldChar w:fldCharType="end"/>
        </w:r>
      </w:p>
    </w:sdtContent>
  </w:sdt>
  <w:p w:rsidR="003315CC" w:rsidRDefault="00331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CC7"/>
    <w:multiLevelType w:val="hybridMultilevel"/>
    <w:tmpl w:val="E8B02604"/>
    <w:lvl w:ilvl="0" w:tplc="C602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15840"/>
    <w:multiLevelType w:val="hybridMultilevel"/>
    <w:tmpl w:val="C7DC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570108"/>
    <w:multiLevelType w:val="hybridMultilevel"/>
    <w:tmpl w:val="9224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937FD5"/>
    <w:multiLevelType w:val="hybridMultilevel"/>
    <w:tmpl w:val="D2E88C9C"/>
    <w:lvl w:ilvl="0" w:tplc="A9408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EE51BD"/>
    <w:multiLevelType w:val="hybridMultilevel"/>
    <w:tmpl w:val="218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10"/>
  </w:num>
  <w:num w:numId="4">
    <w:abstractNumId w:val="11"/>
  </w:num>
  <w:num w:numId="5">
    <w:abstractNumId w:val="13"/>
  </w:num>
  <w:num w:numId="6">
    <w:abstractNumId w:val="2"/>
  </w:num>
  <w:num w:numId="7">
    <w:abstractNumId w:val="15"/>
  </w:num>
  <w:num w:numId="8">
    <w:abstractNumId w:val="7"/>
  </w:num>
  <w:num w:numId="9">
    <w:abstractNumId w:val="9"/>
  </w:num>
  <w:num w:numId="10">
    <w:abstractNumId w:val="12"/>
  </w:num>
  <w:num w:numId="11">
    <w:abstractNumId w:val="4"/>
  </w:num>
  <w:num w:numId="12">
    <w:abstractNumId w:val="18"/>
  </w:num>
  <w:num w:numId="13">
    <w:abstractNumId w:val="17"/>
  </w:num>
  <w:num w:numId="14">
    <w:abstractNumId w:val="1"/>
  </w:num>
  <w:num w:numId="15">
    <w:abstractNumId w:val="8"/>
  </w:num>
  <w:num w:numId="16">
    <w:abstractNumId w:val="0"/>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283C"/>
    <w:rsid w:val="00024ED9"/>
    <w:rsid w:val="00032465"/>
    <w:rsid w:val="0004296E"/>
    <w:rsid w:val="000743B7"/>
    <w:rsid w:val="00093B40"/>
    <w:rsid w:val="000966A2"/>
    <w:rsid w:val="000B5A30"/>
    <w:rsid w:val="000B7719"/>
    <w:rsid w:val="00106DFA"/>
    <w:rsid w:val="001158E4"/>
    <w:rsid w:val="00184BED"/>
    <w:rsid w:val="001A3D0D"/>
    <w:rsid w:val="001A47CA"/>
    <w:rsid w:val="001A78AB"/>
    <w:rsid w:val="001B7B83"/>
    <w:rsid w:val="001C0294"/>
    <w:rsid w:val="001E2277"/>
    <w:rsid w:val="002250DD"/>
    <w:rsid w:val="002464B7"/>
    <w:rsid w:val="00246E99"/>
    <w:rsid w:val="00246FEC"/>
    <w:rsid w:val="00296801"/>
    <w:rsid w:val="002B3749"/>
    <w:rsid w:val="002D583F"/>
    <w:rsid w:val="002D66D4"/>
    <w:rsid w:val="002E7D99"/>
    <w:rsid w:val="002F5242"/>
    <w:rsid w:val="00324C41"/>
    <w:rsid w:val="00327011"/>
    <w:rsid w:val="003315CC"/>
    <w:rsid w:val="0033417F"/>
    <w:rsid w:val="00376665"/>
    <w:rsid w:val="003A7099"/>
    <w:rsid w:val="003B4C07"/>
    <w:rsid w:val="00414B78"/>
    <w:rsid w:val="00421BB5"/>
    <w:rsid w:val="00437199"/>
    <w:rsid w:val="00450BA4"/>
    <w:rsid w:val="004B0CB8"/>
    <w:rsid w:val="004C4FDD"/>
    <w:rsid w:val="004C67A5"/>
    <w:rsid w:val="004E7881"/>
    <w:rsid w:val="00515A4F"/>
    <w:rsid w:val="00536263"/>
    <w:rsid w:val="005A6F14"/>
    <w:rsid w:val="005B708E"/>
    <w:rsid w:val="005E5A86"/>
    <w:rsid w:val="005F30DA"/>
    <w:rsid w:val="005F6B41"/>
    <w:rsid w:val="00600921"/>
    <w:rsid w:val="006047A4"/>
    <w:rsid w:val="0061088A"/>
    <w:rsid w:val="00637EFF"/>
    <w:rsid w:val="00670A70"/>
    <w:rsid w:val="00684E92"/>
    <w:rsid w:val="006B012B"/>
    <w:rsid w:val="006F6204"/>
    <w:rsid w:val="006F7D8D"/>
    <w:rsid w:val="00703E47"/>
    <w:rsid w:val="00707A15"/>
    <w:rsid w:val="00734494"/>
    <w:rsid w:val="007464A5"/>
    <w:rsid w:val="00751EBF"/>
    <w:rsid w:val="00766D5B"/>
    <w:rsid w:val="00777A56"/>
    <w:rsid w:val="007C4F87"/>
    <w:rsid w:val="007D084A"/>
    <w:rsid w:val="0080312B"/>
    <w:rsid w:val="00852DA4"/>
    <w:rsid w:val="00855C17"/>
    <w:rsid w:val="00860FA2"/>
    <w:rsid w:val="00895B84"/>
    <w:rsid w:val="00897E59"/>
    <w:rsid w:val="008D5950"/>
    <w:rsid w:val="008E35A6"/>
    <w:rsid w:val="008E5F2A"/>
    <w:rsid w:val="009014D6"/>
    <w:rsid w:val="00915F0E"/>
    <w:rsid w:val="009175C9"/>
    <w:rsid w:val="0095370C"/>
    <w:rsid w:val="0095655B"/>
    <w:rsid w:val="00986B42"/>
    <w:rsid w:val="009B092E"/>
    <w:rsid w:val="009E049D"/>
    <w:rsid w:val="00A17061"/>
    <w:rsid w:val="00A64482"/>
    <w:rsid w:val="00A73392"/>
    <w:rsid w:val="00A80161"/>
    <w:rsid w:val="00A93E33"/>
    <w:rsid w:val="00AB4F91"/>
    <w:rsid w:val="00AD0187"/>
    <w:rsid w:val="00AE01C9"/>
    <w:rsid w:val="00AE0E37"/>
    <w:rsid w:val="00AE4B5F"/>
    <w:rsid w:val="00AF4B5F"/>
    <w:rsid w:val="00B1561D"/>
    <w:rsid w:val="00B3333A"/>
    <w:rsid w:val="00B33886"/>
    <w:rsid w:val="00B4476E"/>
    <w:rsid w:val="00B81065"/>
    <w:rsid w:val="00B97C38"/>
    <w:rsid w:val="00BF207E"/>
    <w:rsid w:val="00C36F99"/>
    <w:rsid w:val="00C4509D"/>
    <w:rsid w:val="00C8361C"/>
    <w:rsid w:val="00C9150A"/>
    <w:rsid w:val="00C943F8"/>
    <w:rsid w:val="00CE3053"/>
    <w:rsid w:val="00CF7BAD"/>
    <w:rsid w:val="00D062AD"/>
    <w:rsid w:val="00D1198A"/>
    <w:rsid w:val="00D15FF0"/>
    <w:rsid w:val="00D26281"/>
    <w:rsid w:val="00D653E2"/>
    <w:rsid w:val="00D86897"/>
    <w:rsid w:val="00D90C7E"/>
    <w:rsid w:val="00DC50F5"/>
    <w:rsid w:val="00DD4381"/>
    <w:rsid w:val="00DE0A55"/>
    <w:rsid w:val="00E25784"/>
    <w:rsid w:val="00E47699"/>
    <w:rsid w:val="00E70BF1"/>
    <w:rsid w:val="00E7127F"/>
    <w:rsid w:val="00E934B7"/>
    <w:rsid w:val="00EA7D02"/>
    <w:rsid w:val="00EC4399"/>
    <w:rsid w:val="00EE311F"/>
    <w:rsid w:val="00F035CF"/>
    <w:rsid w:val="00F43B09"/>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paragraph" w:styleId="NoSpacing">
    <w:name w:val="No Spacing"/>
    <w:uiPriority w:val="1"/>
    <w:qFormat/>
    <w:rsid w:val="00E25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paragraph" w:styleId="NoSpacing">
    <w:name w:val="No Spacing"/>
    <w:uiPriority w:val="1"/>
    <w:qFormat/>
    <w:rsid w:val="00E25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06832248">
      <w:bodyDiv w:val="1"/>
      <w:marLeft w:val="0"/>
      <w:marRight w:val="0"/>
      <w:marTop w:val="0"/>
      <w:marBottom w:val="0"/>
      <w:divBdr>
        <w:top w:val="none" w:sz="0" w:space="0" w:color="auto"/>
        <w:left w:val="none" w:sz="0" w:space="0" w:color="auto"/>
        <w:bottom w:val="none" w:sz="0" w:space="0" w:color="auto"/>
        <w:right w:val="none" w:sz="0" w:space="0" w:color="auto"/>
      </w:divBdr>
      <w:divsChild>
        <w:div w:id="426266802">
          <w:marLeft w:val="0"/>
          <w:marRight w:val="0"/>
          <w:marTop w:val="0"/>
          <w:marBottom w:val="0"/>
          <w:divBdr>
            <w:top w:val="none" w:sz="0" w:space="0" w:color="auto"/>
            <w:left w:val="none" w:sz="0" w:space="0" w:color="auto"/>
            <w:bottom w:val="none" w:sz="0" w:space="0" w:color="auto"/>
            <w:right w:val="none" w:sz="0" w:space="0" w:color="auto"/>
          </w:divBdr>
          <w:divsChild>
            <w:div w:id="1597135202">
              <w:marLeft w:val="0"/>
              <w:marRight w:val="0"/>
              <w:marTop w:val="0"/>
              <w:marBottom w:val="0"/>
              <w:divBdr>
                <w:top w:val="none" w:sz="0" w:space="0" w:color="auto"/>
                <w:left w:val="none" w:sz="0" w:space="0" w:color="auto"/>
                <w:bottom w:val="none" w:sz="0" w:space="0" w:color="auto"/>
                <w:right w:val="none" w:sz="0" w:space="0" w:color="auto"/>
              </w:divBdr>
              <w:divsChild>
                <w:div w:id="149909531">
                  <w:marLeft w:val="0"/>
                  <w:marRight w:val="0"/>
                  <w:marTop w:val="0"/>
                  <w:marBottom w:val="0"/>
                  <w:divBdr>
                    <w:top w:val="none" w:sz="0" w:space="0" w:color="auto"/>
                    <w:left w:val="none" w:sz="0" w:space="0" w:color="auto"/>
                    <w:bottom w:val="none" w:sz="0" w:space="0" w:color="auto"/>
                    <w:right w:val="none" w:sz="0" w:space="0" w:color="auto"/>
                  </w:divBdr>
                  <w:divsChild>
                    <w:div w:id="2090615172">
                      <w:marLeft w:val="0"/>
                      <w:marRight w:val="0"/>
                      <w:marTop w:val="0"/>
                      <w:marBottom w:val="0"/>
                      <w:divBdr>
                        <w:top w:val="none" w:sz="0" w:space="0" w:color="auto"/>
                        <w:left w:val="none" w:sz="0" w:space="0" w:color="auto"/>
                        <w:bottom w:val="none" w:sz="0" w:space="0" w:color="auto"/>
                        <w:right w:val="none" w:sz="0" w:space="0" w:color="auto"/>
                      </w:divBdr>
                      <w:divsChild>
                        <w:div w:id="1050301366">
                          <w:marLeft w:val="0"/>
                          <w:marRight w:val="0"/>
                          <w:marTop w:val="0"/>
                          <w:marBottom w:val="0"/>
                          <w:divBdr>
                            <w:top w:val="none" w:sz="0" w:space="0" w:color="auto"/>
                            <w:left w:val="none" w:sz="0" w:space="0" w:color="auto"/>
                            <w:bottom w:val="none" w:sz="0" w:space="0" w:color="auto"/>
                            <w:right w:val="none" w:sz="0" w:space="0" w:color="auto"/>
                          </w:divBdr>
                          <w:divsChild>
                            <w:div w:id="1988432442">
                              <w:marLeft w:val="0"/>
                              <w:marRight w:val="0"/>
                              <w:marTop w:val="0"/>
                              <w:marBottom w:val="0"/>
                              <w:divBdr>
                                <w:top w:val="none" w:sz="0" w:space="0" w:color="auto"/>
                                <w:left w:val="none" w:sz="0" w:space="0" w:color="auto"/>
                                <w:bottom w:val="none" w:sz="0" w:space="0" w:color="auto"/>
                                <w:right w:val="none" w:sz="0" w:space="0" w:color="auto"/>
                              </w:divBdr>
                              <w:divsChild>
                                <w:div w:id="365910519">
                                  <w:marLeft w:val="0"/>
                                  <w:marRight w:val="0"/>
                                  <w:marTop w:val="0"/>
                                  <w:marBottom w:val="0"/>
                                  <w:divBdr>
                                    <w:top w:val="none" w:sz="0" w:space="0" w:color="auto"/>
                                    <w:left w:val="none" w:sz="0" w:space="0" w:color="auto"/>
                                    <w:bottom w:val="none" w:sz="0" w:space="0" w:color="auto"/>
                                    <w:right w:val="none" w:sz="0" w:space="0" w:color="auto"/>
                                  </w:divBdr>
                                  <w:divsChild>
                                    <w:div w:id="1961063052">
                                      <w:marLeft w:val="0"/>
                                      <w:marRight w:val="0"/>
                                      <w:marTop w:val="0"/>
                                      <w:marBottom w:val="0"/>
                                      <w:divBdr>
                                        <w:top w:val="none" w:sz="0" w:space="0" w:color="auto"/>
                                        <w:left w:val="none" w:sz="0" w:space="0" w:color="auto"/>
                                        <w:bottom w:val="none" w:sz="0" w:space="0" w:color="auto"/>
                                        <w:right w:val="none" w:sz="0" w:space="0" w:color="auto"/>
                                      </w:divBdr>
                                      <w:divsChild>
                                        <w:div w:id="1394266">
                                          <w:marLeft w:val="0"/>
                                          <w:marRight w:val="0"/>
                                          <w:marTop w:val="0"/>
                                          <w:marBottom w:val="0"/>
                                          <w:divBdr>
                                            <w:top w:val="none" w:sz="0" w:space="0" w:color="auto"/>
                                            <w:left w:val="none" w:sz="0" w:space="0" w:color="auto"/>
                                            <w:bottom w:val="none" w:sz="0" w:space="0" w:color="auto"/>
                                            <w:right w:val="none" w:sz="0" w:space="0" w:color="auto"/>
                                          </w:divBdr>
                                          <w:divsChild>
                                            <w:div w:id="611740826">
                                              <w:marLeft w:val="0"/>
                                              <w:marRight w:val="0"/>
                                              <w:marTop w:val="0"/>
                                              <w:marBottom w:val="0"/>
                                              <w:divBdr>
                                                <w:top w:val="none" w:sz="0" w:space="0" w:color="auto"/>
                                                <w:left w:val="none" w:sz="0" w:space="0" w:color="auto"/>
                                                <w:bottom w:val="none" w:sz="0" w:space="0" w:color="auto"/>
                                                <w:right w:val="none" w:sz="0" w:space="0" w:color="auto"/>
                                              </w:divBdr>
                                              <w:divsChild>
                                                <w:div w:id="1167599316">
                                                  <w:marLeft w:val="0"/>
                                                  <w:marRight w:val="0"/>
                                                  <w:marTop w:val="0"/>
                                                  <w:marBottom w:val="0"/>
                                                  <w:divBdr>
                                                    <w:top w:val="none" w:sz="0" w:space="0" w:color="auto"/>
                                                    <w:left w:val="none" w:sz="0" w:space="0" w:color="auto"/>
                                                    <w:bottom w:val="none" w:sz="0" w:space="0" w:color="auto"/>
                                                    <w:right w:val="none" w:sz="0" w:space="0" w:color="auto"/>
                                                  </w:divBdr>
                                                  <w:divsChild>
                                                    <w:div w:id="957179282">
                                                      <w:marLeft w:val="0"/>
                                                      <w:marRight w:val="0"/>
                                                      <w:marTop w:val="0"/>
                                                      <w:marBottom w:val="0"/>
                                                      <w:divBdr>
                                                        <w:top w:val="none" w:sz="0" w:space="0" w:color="auto"/>
                                                        <w:left w:val="none" w:sz="0" w:space="0" w:color="auto"/>
                                                        <w:bottom w:val="none" w:sz="0" w:space="0" w:color="auto"/>
                                                        <w:right w:val="none" w:sz="0" w:space="0" w:color="auto"/>
                                                      </w:divBdr>
                                                      <w:divsChild>
                                                        <w:div w:id="1005091465">
                                                          <w:marLeft w:val="0"/>
                                                          <w:marRight w:val="0"/>
                                                          <w:marTop w:val="0"/>
                                                          <w:marBottom w:val="0"/>
                                                          <w:divBdr>
                                                            <w:top w:val="none" w:sz="0" w:space="0" w:color="auto"/>
                                                            <w:left w:val="none" w:sz="0" w:space="0" w:color="auto"/>
                                                            <w:bottom w:val="none" w:sz="0" w:space="0" w:color="auto"/>
                                                            <w:right w:val="none" w:sz="0" w:space="0" w:color="auto"/>
                                                          </w:divBdr>
                                                          <w:divsChild>
                                                            <w:div w:id="177550973">
                                                              <w:marLeft w:val="360"/>
                                                              <w:marRight w:val="0"/>
                                                              <w:marTop w:val="0"/>
                                                              <w:marBottom w:val="200"/>
                                                              <w:divBdr>
                                                                <w:top w:val="none" w:sz="0" w:space="0" w:color="auto"/>
                                                                <w:left w:val="none" w:sz="0" w:space="0" w:color="auto"/>
                                                                <w:bottom w:val="none" w:sz="0" w:space="0" w:color="auto"/>
                                                                <w:right w:val="none" w:sz="0" w:space="0" w:color="auto"/>
                                                              </w:divBdr>
                                                            </w:div>
                                                            <w:div w:id="19270303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uritiusassembly.govmu.org/English/constitution/Pages/default.aspx" TargetMode="External"/><Relationship Id="rId18" Type="http://schemas.openxmlformats.org/officeDocument/2006/relationships/hyperlink" Target="http://undg.org/home/country-teams/africa-western-central/mauritius/" TargetMode="External"/><Relationship Id="rId26" Type="http://schemas.openxmlformats.org/officeDocument/2006/relationships/hyperlink" Target="http://unhabitat.org/" TargetMode="External"/><Relationship Id="rId3" Type="http://schemas.openxmlformats.org/officeDocument/2006/relationships/styles" Target="styles.xml"/><Relationship Id="rId21" Type="http://schemas.openxmlformats.org/officeDocument/2006/relationships/hyperlink" Target="http://mirror.unhabitat.org/content.asp?cid=10996&amp;catid=592&amp;typeid=79"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ohchr.org/EN/HRBodies/UPR/Pages/MUSession17.aspx" TargetMode="External"/><Relationship Id="rId25" Type="http://schemas.openxmlformats.org/officeDocument/2006/relationships/hyperlink" Target="http://www.ohchr.org/EN/Pages/WelcomePage.aspx" TargetMode="External"/><Relationship Id="rId2" Type="http://schemas.openxmlformats.org/officeDocument/2006/relationships/numbering" Target="numbering.xml"/><Relationship Id="rId16" Type="http://schemas.openxmlformats.org/officeDocument/2006/relationships/hyperlink" Target="http://www.ohchr.org/EN/HRBodies/UPR/PAGES/GMSession7.aspx" TargetMode="External"/><Relationship Id="rId20" Type="http://schemas.openxmlformats.org/officeDocument/2006/relationships/hyperlink" Target="http://tbinternet.ohchr.org/_layouts/treatybodyexternal/Download.aspx?symbolno=E/C.12/MUS/CO/4&amp;Lang=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mirror.unhabitat.org/content.asp?cid=10996&amp;catid=592&amp;typeid=79" TargetMode="External"/><Relationship Id="rId5" Type="http://schemas.openxmlformats.org/officeDocument/2006/relationships/settings" Target="settings.xml"/><Relationship Id="rId15" Type="http://schemas.openxmlformats.org/officeDocument/2006/relationships/hyperlink" Target="http://www.ohchr.org/EN/HRBodies/UPR/Pages/MUSession4.aspx" TargetMode="External"/><Relationship Id="rId23" Type="http://schemas.openxmlformats.org/officeDocument/2006/relationships/hyperlink" Target="http://unhabitat.org/ethiopia/" TargetMode="External"/><Relationship Id="rId28" Type="http://schemas.openxmlformats.org/officeDocument/2006/relationships/hyperlink" Target="http://www.ohchr.org/EN/Issues/Housing/Pages/HousingIndex.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undp.org/content/dam/rba/docs/Programme%20Documents/Mauritius%20CPD%202013-2016%20(en).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ohchr.org/EN/HRBodies/UPR/Pages/GMSession20.aspx" TargetMode="External"/><Relationship Id="rId22" Type="http://schemas.openxmlformats.org/officeDocument/2006/relationships/hyperlink" Target="http://unhabitat.org/nepal/" TargetMode="External"/><Relationship Id="rId27" Type="http://schemas.openxmlformats.org/officeDocument/2006/relationships/hyperlink" Target="http://www.ohchr.org/EN/HRBodies/UPR/Pages/UPRMain.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E/C.12/MUS/CO/4&amp;Lang=En" TargetMode="External"/><Relationship Id="rId13" Type="http://schemas.openxmlformats.org/officeDocument/2006/relationships/hyperlink" Target="http://unhabitat.org/books/beau-bassin-rose-hill-urban-profile-mauritius/" TargetMode="External"/><Relationship Id="rId3" Type="http://schemas.openxmlformats.org/officeDocument/2006/relationships/hyperlink" Target="http://indicators.ohchr.org/" TargetMode="External"/><Relationship Id="rId7" Type="http://schemas.openxmlformats.org/officeDocument/2006/relationships/hyperlink" Target="http://daccess-dds-ny.un.org/doc/UNDOC/GEN/G13/162/25/PDF/G1316225.pdf?OpenElement" TargetMode="External"/><Relationship Id="rId12" Type="http://schemas.openxmlformats.org/officeDocument/2006/relationships/hyperlink" Target="http://unhabitat.org/books/black-river-urban-profile-mauritius/" TargetMode="External"/><Relationship Id="rId2" Type="http://schemas.openxmlformats.org/officeDocument/2006/relationships/hyperlink" Target="http://housing.govmu.org/English/Pages/default.aspx" TargetMode="External"/><Relationship Id="rId1" Type="http://schemas.openxmlformats.org/officeDocument/2006/relationships/hyperlink" Target="http://mauritiusassembly.govmu.org/English/constitution/Pages/default.aspx" TargetMode="External"/><Relationship Id="rId6" Type="http://schemas.openxmlformats.org/officeDocument/2006/relationships/hyperlink" Target="http://daccess-dds-ny.un.org/doc/UNDOC/GEN/G14/250/81/PDF/G1425081.pdf?OpenElement" TargetMode="External"/><Relationship Id="rId11" Type="http://schemas.openxmlformats.org/officeDocument/2006/relationships/hyperlink" Target="http://unhabitat.org/books/mauritius-national-urban-profile/" TargetMode="External"/><Relationship Id="rId5" Type="http://schemas.openxmlformats.org/officeDocument/2006/relationships/hyperlink" Target="http://www.ohchr.org/EN/HRBodies/UPR/PAGES/GMSession7.aspx" TargetMode="External"/><Relationship Id="rId10" Type="http://schemas.openxmlformats.org/officeDocument/2006/relationships/hyperlink" Target="http://www.undp.org/content/dam/rba/docs/Programme%20Documents/Mauritius%20CPD%202013-2016%20(en).pdf" TargetMode="External"/><Relationship Id="rId4" Type="http://schemas.openxmlformats.org/officeDocument/2006/relationships/hyperlink" Target="http://www.ohchr.org/EN/HRBodies/UPR/Pages/MUSession4.aspx" TargetMode="External"/><Relationship Id="rId9" Type="http://schemas.openxmlformats.org/officeDocument/2006/relationships/hyperlink" Target="http://undg.org/home/country-teams/africa-western-central/maurit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E48026BD-173A-4F67-BEF5-EDF7A61C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2016-02-09T13:23:00Z</dcterms:created>
  <dcterms:modified xsi:type="dcterms:W3CDTF">2016-02-09T13:23:00Z</dcterms:modified>
</cp:coreProperties>
</file>