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B70C4E" w:rsidRDefault="00341378" w:rsidP="002250DD">
      <w:pPr>
        <w:jc w:val="center"/>
        <w:rPr>
          <w:b/>
          <w:sz w:val="48"/>
        </w:rPr>
      </w:pPr>
      <w:r>
        <w:rPr>
          <w:b/>
          <w:sz w:val="48"/>
        </w:rPr>
        <w:t xml:space="preserve">Jordan </w:t>
      </w:r>
    </w:p>
    <w:p w:rsidR="007A1DD8" w:rsidRPr="007A1DD8" w:rsidRDefault="007A1DD8" w:rsidP="007A1DD8">
      <w:pPr>
        <w:jc w:val="both"/>
        <w:rPr>
          <w:i/>
          <w:sz w:val="24"/>
          <w:szCs w:val="24"/>
        </w:rPr>
      </w:pPr>
      <w:r w:rsidRPr="007A1DD8">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7A1DD8" w:rsidRPr="007A1DD8" w:rsidRDefault="007A1DD8" w:rsidP="007A1DD8">
      <w:pPr>
        <w:jc w:val="both"/>
        <w:rPr>
          <w:i/>
          <w:sz w:val="24"/>
          <w:szCs w:val="24"/>
        </w:rPr>
      </w:pPr>
      <w:r w:rsidRPr="007A1DD8">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7A1DD8" w:rsidRDefault="007A1DD8" w:rsidP="00986A6C">
      <w:pPr>
        <w:jc w:val="center"/>
        <w:rPr>
          <w:sz w:val="24"/>
          <w:szCs w:val="24"/>
        </w:rPr>
      </w:pPr>
    </w:p>
    <w:p w:rsidR="00520930" w:rsidRPr="00520930" w:rsidRDefault="00520930" w:rsidP="00986A6C">
      <w:pPr>
        <w:jc w:val="center"/>
        <w:rPr>
          <w:sz w:val="24"/>
          <w:szCs w:val="24"/>
        </w:rPr>
      </w:pPr>
      <w:r w:rsidRPr="00520930">
        <w:rPr>
          <w:sz w:val="24"/>
          <w:szCs w:val="24"/>
        </w:rPr>
        <w:t>Table of Contents</w:t>
      </w:r>
    </w:p>
    <w:tbl>
      <w:tblPr>
        <w:tblStyle w:val="LightShading1"/>
        <w:tblW w:w="9612" w:type="dxa"/>
        <w:tblLook w:val="04A0" w:firstRow="1" w:lastRow="0" w:firstColumn="1" w:lastColumn="0" w:noHBand="0" w:noVBand="1"/>
      </w:tblPr>
      <w:tblGrid>
        <w:gridCol w:w="8748"/>
        <w:gridCol w:w="864"/>
      </w:tblGrid>
      <w:tr w:rsidR="00520930" w:rsidRPr="00BE6A41" w:rsidTr="00540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sz w:val="24"/>
                <w:szCs w:val="24"/>
              </w:rPr>
            </w:pPr>
            <w:r w:rsidRPr="00BE6A41">
              <w:rPr>
                <w:sz w:val="24"/>
                <w:szCs w:val="24"/>
              </w:rPr>
              <w:t>Chapter</w:t>
            </w:r>
          </w:p>
        </w:tc>
        <w:tc>
          <w:tcPr>
            <w:tcW w:w="864" w:type="dxa"/>
            <w:vAlign w:val="center"/>
          </w:tcPr>
          <w:p w:rsidR="00520930" w:rsidRPr="00BE6A41" w:rsidRDefault="00520930" w:rsidP="00540AC9">
            <w:pPr>
              <w:jc w:val="both"/>
              <w:cnfStyle w:val="100000000000" w:firstRow="1" w:lastRow="0" w:firstColumn="0" w:lastColumn="0" w:oddVBand="0" w:evenVBand="0" w:oddHBand="0" w:evenHBand="0" w:firstRowFirstColumn="0" w:firstRowLastColumn="0" w:lastRowFirstColumn="0" w:lastRowLastColumn="0"/>
              <w:rPr>
                <w:sz w:val="24"/>
                <w:szCs w:val="24"/>
              </w:rPr>
            </w:pPr>
            <w:r w:rsidRPr="00BE6A41">
              <w:rPr>
                <w:sz w:val="24"/>
                <w:szCs w:val="24"/>
              </w:rPr>
              <w:t>Page</w:t>
            </w:r>
          </w:p>
        </w:tc>
      </w:tr>
      <w:tr w:rsidR="00520930" w:rsidRPr="00BE6A41" w:rsidTr="0054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b w:val="0"/>
                <w:sz w:val="24"/>
                <w:szCs w:val="24"/>
              </w:rPr>
            </w:pPr>
            <w:r w:rsidRPr="00BE6A41">
              <w:rPr>
                <w:b w:val="0"/>
                <w:sz w:val="24"/>
                <w:szCs w:val="24"/>
              </w:rPr>
              <w:t>Summary</w:t>
            </w:r>
          </w:p>
        </w:tc>
        <w:tc>
          <w:tcPr>
            <w:tcW w:w="864" w:type="dxa"/>
            <w:vAlign w:val="center"/>
          </w:tcPr>
          <w:p w:rsidR="00520930" w:rsidRPr="00BE6A41" w:rsidRDefault="00520930" w:rsidP="00540AC9">
            <w:pPr>
              <w:jc w:val="both"/>
              <w:cnfStyle w:val="000000100000" w:firstRow="0" w:lastRow="0" w:firstColumn="0" w:lastColumn="0" w:oddVBand="0" w:evenVBand="0" w:oddHBand="1" w:evenHBand="0" w:firstRowFirstColumn="0" w:firstRowLastColumn="0" w:lastRowFirstColumn="0" w:lastRowLastColumn="0"/>
              <w:rPr>
                <w:sz w:val="24"/>
                <w:szCs w:val="24"/>
              </w:rPr>
            </w:pPr>
            <w:r w:rsidRPr="00BE6A41">
              <w:rPr>
                <w:sz w:val="24"/>
                <w:szCs w:val="24"/>
              </w:rPr>
              <w:t>2</w:t>
            </w:r>
          </w:p>
        </w:tc>
      </w:tr>
      <w:tr w:rsidR="00520930" w:rsidRPr="00BE6A41" w:rsidTr="00540AC9">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b w:val="0"/>
                <w:sz w:val="24"/>
                <w:szCs w:val="24"/>
              </w:rPr>
            </w:pPr>
            <w:r w:rsidRPr="00BE6A41">
              <w:rPr>
                <w:b w:val="0"/>
                <w:sz w:val="24"/>
                <w:szCs w:val="24"/>
              </w:rPr>
              <w:t>National Legal Framework relating to Human Rights in Urban Contexts</w:t>
            </w:r>
          </w:p>
        </w:tc>
        <w:tc>
          <w:tcPr>
            <w:tcW w:w="864" w:type="dxa"/>
            <w:vAlign w:val="center"/>
          </w:tcPr>
          <w:p w:rsidR="00520930" w:rsidRPr="00BE6A41" w:rsidRDefault="00520930" w:rsidP="00540AC9">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3</w:t>
            </w:r>
          </w:p>
        </w:tc>
      </w:tr>
      <w:tr w:rsidR="00520930" w:rsidRPr="00BE6A41" w:rsidTr="0054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b w:val="0"/>
                <w:sz w:val="24"/>
                <w:szCs w:val="24"/>
              </w:rPr>
            </w:pPr>
            <w:r w:rsidRPr="00BE6A41">
              <w:rPr>
                <w:b w:val="0"/>
                <w:sz w:val="24"/>
                <w:szCs w:val="24"/>
              </w:rPr>
              <w:t>Government Structures and Institutional Setup</w:t>
            </w:r>
          </w:p>
        </w:tc>
        <w:tc>
          <w:tcPr>
            <w:tcW w:w="864" w:type="dxa"/>
            <w:vAlign w:val="center"/>
          </w:tcPr>
          <w:p w:rsidR="00520930" w:rsidRPr="00BE6A41" w:rsidRDefault="00C64F67" w:rsidP="00540AC9">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520930" w:rsidRPr="00BE6A41" w:rsidTr="00540AC9">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b w:val="0"/>
                <w:sz w:val="24"/>
                <w:szCs w:val="24"/>
              </w:rPr>
            </w:pPr>
            <w:r w:rsidRPr="00BE6A41">
              <w:rPr>
                <w:b w:val="0"/>
                <w:sz w:val="24"/>
                <w:szCs w:val="24"/>
              </w:rPr>
              <w:t>International Conventions</w:t>
            </w:r>
          </w:p>
        </w:tc>
        <w:tc>
          <w:tcPr>
            <w:tcW w:w="864" w:type="dxa"/>
            <w:vAlign w:val="center"/>
          </w:tcPr>
          <w:p w:rsidR="00520930" w:rsidRPr="00BE6A41" w:rsidRDefault="00520930" w:rsidP="00540AC9">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5</w:t>
            </w:r>
          </w:p>
        </w:tc>
      </w:tr>
      <w:tr w:rsidR="00520930" w:rsidRPr="00BE6A41" w:rsidTr="0054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b w:val="0"/>
                <w:sz w:val="24"/>
                <w:szCs w:val="24"/>
              </w:rPr>
            </w:pPr>
            <w:r w:rsidRPr="00BE6A41">
              <w:rPr>
                <w:b w:val="0"/>
                <w:sz w:val="24"/>
                <w:szCs w:val="24"/>
              </w:rPr>
              <w:t>UN Reviews (UN Country Team, Special Rapporteur Reports, UNDAF and other Delivering as One initiatives, including Human Rights Up Front)</w:t>
            </w:r>
          </w:p>
        </w:tc>
        <w:tc>
          <w:tcPr>
            <w:tcW w:w="864" w:type="dxa"/>
            <w:vAlign w:val="center"/>
          </w:tcPr>
          <w:p w:rsidR="00520930" w:rsidRPr="00BE6A41" w:rsidRDefault="00C64F67" w:rsidP="00540AC9">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r w:rsidR="00520930" w:rsidRPr="00BE6A41" w:rsidTr="00540AC9">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b w:val="0"/>
                <w:sz w:val="24"/>
                <w:szCs w:val="24"/>
              </w:rPr>
            </w:pPr>
            <w:r w:rsidRPr="00BE6A41">
              <w:rPr>
                <w:b w:val="0"/>
                <w:sz w:val="24"/>
                <w:szCs w:val="24"/>
              </w:rPr>
              <w:t>Universal Periodic Review (UPR) and Human Rights Council</w:t>
            </w:r>
          </w:p>
        </w:tc>
        <w:tc>
          <w:tcPr>
            <w:tcW w:w="864" w:type="dxa"/>
            <w:vAlign w:val="center"/>
          </w:tcPr>
          <w:p w:rsidR="00520930" w:rsidRPr="00BE6A41" w:rsidRDefault="00520930" w:rsidP="00540AC9">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520930" w:rsidRPr="00BE6A41" w:rsidTr="00540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520930" w:rsidRPr="00607B35" w:rsidRDefault="00520930" w:rsidP="00540AC9">
            <w:pPr>
              <w:jc w:val="both"/>
              <w:rPr>
                <w:b w:val="0"/>
                <w:sz w:val="24"/>
                <w:szCs w:val="24"/>
                <w:lang w:val="fr-FR"/>
              </w:rPr>
            </w:pPr>
            <w:r w:rsidRPr="00607B35">
              <w:rPr>
                <w:b w:val="0"/>
                <w:sz w:val="24"/>
                <w:szCs w:val="24"/>
                <w:lang w:val="fr-FR"/>
              </w:rPr>
              <w:t>UN-Habitat Engagement at Project Level</w:t>
            </w:r>
          </w:p>
        </w:tc>
        <w:tc>
          <w:tcPr>
            <w:tcW w:w="864" w:type="dxa"/>
            <w:vAlign w:val="center"/>
          </w:tcPr>
          <w:p w:rsidR="00520930" w:rsidRPr="00BE6A41" w:rsidRDefault="00C64F67" w:rsidP="00540AC9">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520930" w:rsidRPr="00BE6A41" w:rsidTr="00540AC9">
        <w:tc>
          <w:tcPr>
            <w:cnfStyle w:val="001000000000" w:firstRow="0" w:lastRow="0" w:firstColumn="1" w:lastColumn="0" w:oddVBand="0" w:evenVBand="0" w:oddHBand="0" w:evenHBand="0" w:firstRowFirstColumn="0" w:firstRowLastColumn="0" w:lastRowFirstColumn="0" w:lastRowLastColumn="0"/>
            <w:tcW w:w="8748" w:type="dxa"/>
          </w:tcPr>
          <w:p w:rsidR="00520930" w:rsidRPr="00BE6A41" w:rsidRDefault="00520930" w:rsidP="00540AC9">
            <w:pPr>
              <w:jc w:val="both"/>
              <w:rPr>
                <w:b w:val="0"/>
                <w:sz w:val="24"/>
                <w:szCs w:val="24"/>
              </w:rPr>
            </w:pPr>
            <w:r w:rsidRPr="00BE6A41">
              <w:rPr>
                <w:b w:val="0"/>
                <w:sz w:val="24"/>
                <w:szCs w:val="24"/>
              </w:rPr>
              <w:t>Further Information</w:t>
            </w:r>
          </w:p>
        </w:tc>
        <w:tc>
          <w:tcPr>
            <w:tcW w:w="864" w:type="dxa"/>
            <w:vAlign w:val="center"/>
          </w:tcPr>
          <w:p w:rsidR="00520930" w:rsidRPr="00BE6A41" w:rsidRDefault="00C64F67" w:rsidP="00540AC9">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w:t>
            </w:r>
          </w:p>
        </w:tc>
      </w:tr>
    </w:tbl>
    <w:p w:rsidR="00520930" w:rsidRPr="00CF7BAD" w:rsidRDefault="00520930" w:rsidP="00520930">
      <w:pPr>
        <w:pStyle w:val="ListParagraph"/>
        <w:rPr>
          <w:sz w:val="24"/>
          <w:szCs w:val="24"/>
        </w:rPr>
      </w:pPr>
    </w:p>
    <w:p w:rsidR="00E70BF1" w:rsidRPr="00E70BF1" w:rsidRDefault="00E70BF1" w:rsidP="002250DD">
      <w:pPr>
        <w:jc w:val="center"/>
        <w:rPr>
          <w:b/>
          <w:sz w:val="24"/>
          <w:szCs w:val="24"/>
        </w:rPr>
      </w:pPr>
      <w:r w:rsidRPr="00E70BF1">
        <w:rPr>
          <w:b/>
          <w:sz w:val="24"/>
          <w:szCs w:val="24"/>
        </w:rPr>
        <w:t>Revision History</w:t>
      </w:r>
    </w:p>
    <w:tbl>
      <w:tblPr>
        <w:tblStyle w:val="LightList1"/>
        <w:tblW w:w="0" w:type="auto"/>
        <w:jc w:val="center"/>
        <w:tblLook w:val="04A0" w:firstRow="1" w:lastRow="0" w:firstColumn="1" w:lastColumn="0" w:noHBand="0" w:noVBand="1"/>
      </w:tblPr>
      <w:tblGrid>
        <w:gridCol w:w="3080"/>
        <w:gridCol w:w="3081"/>
        <w:gridCol w:w="3081"/>
      </w:tblGrid>
      <w:tr w:rsidR="00E70BF1" w:rsidRPr="00E70BF1" w:rsidTr="00F43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E70BF1" w:rsidRDefault="00E70BF1" w:rsidP="002250DD">
            <w:pPr>
              <w:spacing w:line="276" w:lineRule="auto"/>
              <w:jc w:val="center"/>
            </w:pPr>
            <w:r w:rsidRPr="00E70BF1">
              <w:t>Rev</w:t>
            </w:r>
            <w:r>
              <w:t>i</w:t>
            </w:r>
            <w:r w:rsidRPr="00E70BF1">
              <w:t>sion</w:t>
            </w:r>
          </w:p>
        </w:tc>
        <w:tc>
          <w:tcPr>
            <w:tcW w:w="3081" w:type="dxa"/>
          </w:tcPr>
          <w:p w:rsidR="00E70BF1" w:rsidRPr="00E70BF1" w:rsidRDefault="00E70BF1" w:rsidP="002250DD">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E70BF1" w:rsidRPr="00E70BF1" w:rsidRDefault="00E70BF1" w:rsidP="002250DD">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227F11" w:rsidRDefault="00E70BF1" w:rsidP="002250DD">
            <w:pPr>
              <w:spacing w:line="276" w:lineRule="auto"/>
              <w:jc w:val="center"/>
              <w:rPr>
                <w:b w:val="0"/>
                <w:i/>
              </w:rPr>
            </w:pPr>
            <w:r w:rsidRPr="00227F11">
              <w:rPr>
                <w:b w:val="0"/>
                <w:i/>
              </w:rPr>
              <w:t>1</w:t>
            </w:r>
          </w:p>
        </w:tc>
        <w:tc>
          <w:tcPr>
            <w:tcW w:w="3081" w:type="dxa"/>
          </w:tcPr>
          <w:p w:rsidR="00E70BF1" w:rsidRPr="00227F11" w:rsidRDefault="00F43B09" w:rsidP="00C64F67">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227F11">
              <w:rPr>
                <w:i/>
              </w:rPr>
              <w:t>2</w:t>
            </w:r>
            <w:r w:rsidR="00C64F67" w:rsidRPr="00227F11">
              <w:rPr>
                <w:i/>
              </w:rPr>
              <w:t>3</w:t>
            </w:r>
            <w:r w:rsidR="00520930" w:rsidRPr="00227F11">
              <w:rPr>
                <w:i/>
              </w:rPr>
              <w:t>/</w:t>
            </w:r>
            <w:r w:rsidR="00C64F67" w:rsidRPr="00227F11">
              <w:rPr>
                <w:i/>
              </w:rPr>
              <w:t>10</w:t>
            </w:r>
            <w:r w:rsidR="0080312B" w:rsidRPr="00227F11">
              <w:rPr>
                <w:i/>
              </w:rPr>
              <w:t>/15</w:t>
            </w:r>
          </w:p>
        </w:tc>
        <w:tc>
          <w:tcPr>
            <w:tcW w:w="3081" w:type="dxa"/>
          </w:tcPr>
          <w:p w:rsidR="00E70BF1" w:rsidRPr="00227F11" w:rsidRDefault="000338C1" w:rsidP="002250DD">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227F11">
              <w:rPr>
                <w:i/>
              </w:rPr>
              <w:t>SN</w:t>
            </w:r>
          </w:p>
        </w:tc>
      </w:tr>
      <w:tr w:rsidR="00E70BF1"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227F11" w:rsidRDefault="00C64F67" w:rsidP="002250DD">
            <w:pPr>
              <w:spacing w:line="276" w:lineRule="auto"/>
              <w:jc w:val="center"/>
              <w:rPr>
                <w:b w:val="0"/>
              </w:rPr>
            </w:pPr>
            <w:r w:rsidRPr="00227F11">
              <w:rPr>
                <w:b w:val="0"/>
              </w:rPr>
              <w:t xml:space="preserve"> </w:t>
            </w:r>
            <w:r w:rsidR="00150789" w:rsidRPr="00227F11">
              <w:rPr>
                <w:b w:val="0"/>
              </w:rPr>
              <w:t xml:space="preserve">2 </w:t>
            </w:r>
          </w:p>
        </w:tc>
        <w:tc>
          <w:tcPr>
            <w:tcW w:w="3081" w:type="dxa"/>
          </w:tcPr>
          <w:p w:rsidR="00E70BF1" w:rsidRPr="00227F11" w:rsidRDefault="00150789" w:rsidP="002250DD">
            <w:pPr>
              <w:spacing w:line="276" w:lineRule="auto"/>
              <w:jc w:val="center"/>
              <w:cnfStyle w:val="000000000000" w:firstRow="0" w:lastRow="0" w:firstColumn="0" w:lastColumn="0" w:oddVBand="0" w:evenVBand="0" w:oddHBand="0" w:evenHBand="0" w:firstRowFirstColumn="0" w:firstRowLastColumn="0" w:lastRowFirstColumn="0" w:lastRowLastColumn="0"/>
            </w:pPr>
            <w:r w:rsidRPr="00227F11">
              <w:t>12/11/</w:t>
            </w:r>
            <w:r w:rsidR="00C64F67" w:rsidRPr="00227F11">
              <w:t xml:space="preserve"> </w:t>
            </w:r>
            <w:r w:rsidRPr="00227F11">
              <w:t>15</w:t>
            </w:r>
          </w:p>
        </w:tc>
        <w:tc>
          <w:tcPr>
            <w:tcW w:w="3081" w:type="dxa"/>
          </w:tcPr>
          <w:p w:rsidR="00E70BF1" w:rsidRPr="00227F11" w:rsidRDefault="00C64F67" w:rsidP="002250DD">
            <w:pPr>
              <w:spacing w:line="276" w:lineRule="auto"/>
              <w:jc w:val="center"/>
              <w:cnfStyle w:val="000000000000" w:firstRow="0" w:lastRow="0" w:firstColumn="0" w:lastColumn="0" w:oddVBand="0" w:evenVBand="0" w:oddHBand="0" w:evenHBand="0" w:firstRowFirstColumn="0" w:firstRowLastColumn="0" w:lastRowFirstColumn="0" w:lastRowLastColumn="0"/>
            </w:pPr>
            <w:r w:rsidRPr="00227F11">
              <w:t xml:space="preserve"> </w:t>
            </w:r>
            <w:r w:rsidR="00150789" w:rsidRPr="00227F11">
              <w:t>SN</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227F11" w:rsidRDefault="00227F11" w:rsidP="002250DD">
            <w:pPr>
              <w:spacing w:line="276" w:lineRule="auto"/>
              <w:jc w:val="center"/>
              <w:rPr>
                <w:b w:val="0"/>
              </w:rPr>
            </w:pPr>
            <w:r w:rsidRPr="00227F11">
              <w:rPr>
                <w:b w:val="0"/>
              </w:rPr>
              <w:t>3</w:t>
            </w:r>
          </w:p>
        </w:tc>
        <w:tc>
          <w:tcPr>
            <w:tcW w:w="3081" w:type="dxa"/>
          </w:tcPr>
          <w:p w:rsidR="00E70BF1" w:rsidRPr="00227F11" w:rsidRDefault="00227F11" w:rsidP="002250DD">
            <w:pPr>
              <w:spacing w:line="276" w:lineRule="auto"/>
              <w:jc w:val="center"/>
              <w:cnfStyle w:val="000000100000" w:firstRow="0" w:lastRow="0" w:firstColumn="0" w:lastColumn="0" w:oddVBand="0" w:evenVBand="0" w:oddHBand="1" w:evenHBand="0" w:firstRowFirstColumn="0" w:firstRowLastColumn="0" w:lastRowFirstColumn="0" w:lastRowLastColumn="0"/>
            </w:pPr>
            <w:r w:rsidRPr="00227F11">
              <w:t>09/12/15</w:t>
            </w:r>
          </w:p>
        </w:tc>
        <w:tc>
          <w:tcPr>
            <w:tcW w:w="3081" w:type="dxa"/>
          </w:tcPr>
          <w:p w:rsidR="00E70BF1" w:rsidRPr="00227F11" w:rsidRDefault="00227F11" w:rsidP="002250DD">
            <w:pPr>
              <w:spacing w:line="276" w:lineRule="auto"/>
              <w:jc w:val="center"/>
              <w:cnfStyle w:val="000000100000" w:firstRow="0" w:lastRow="0" w:firstColumn="0" w:lastColumn="0" w:oddVBand="0" w:evenVBand="0" w:oddHBand="1" w:evenHBand="0" w:firstRowFirstColumn="0" w:firstRowLastColumn="0" w:lastRowFirstColumn="0" w:lastRowLastColumn="0"/>
            </w:pPr>
            <w:r w:rsidRPr="00227F11">
              <w:t>SN</w:t>
            </w:r>
          </w:p>
        </w:tc>
      </w:tr>
      <w:tr w:rsidR="00C47115"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47115" w:rsidRPr="00FE6D67" w:rsidRDefault="00C47115" w:rsidP="002250DD">
            <w:pPr>
              <w:jc w:val="center"/>
              <w:rPr>
                <w:b w:val="0"/>
              </w:rPr>
            </w:pPr>
            <w:r w:rsidRPr="00FE6D67">
              <w:rPr>
                <w:b w:val="0"/>
              </w:rPr>
              <w:t>4</w:t>
            </w:r>
          </w:p>
        </w:tc>
        <w:tc>
          <w:tcPr>
            <w:tcW w:w="3081" w:type="dxa"/>
          </w:tcPr>
          <w:p w:rsidR="00C47115" w:rsidRPr="00227F11" w:rsidRDefault="00C47115" w:rsidP="002250DD">
            <w:pPr>
              <w:jc w:val="center"/>
              <w:cnfStyle w:val="000000000000" w:firstRow="0" w:lastRow="0" w:firstColumn="0" w:lastColumn="0" w:oddVBand="0" w:evenVBand="0" w:oddHBand="0" w:evenHBand="0" w:firstRowFirstColumn="0" w:firstRowLastColumn="0" w:lastRowFirstColumn="0" w:lastRowLastColumn="0"/>
            </w:pPr>
            <w:r>
              <w:t>18/01/16</w:t>
            </w:r>
          </w:p>
        </w:tc>
        <w:tc>
          <w:tcPr>
            <w:tcW w:w="3081" w:type="dxa"/>
          </w:tcPr>
          <w:p w:rsidR="00C47115" w:rsidRPr="00227F11" w:rsidRDefault="00C47115" w:rsidP="002250DD">
            <w:pPr>
              <w:jc w:val="center"/>
              <w:cnfStyle w:val="000000000000" w:firstRow="0" w:lastRow="0" w:firstColumn="0" w:lastColumn="0" w:oddVBand="0" w:evenVBand="0" w:oddHBand="0" w:evenHBand="0" w:firstRowFirstColumn="0" w:firstRowLastColumn="0" w:lastRowFirstColumn="0" w:lastRowLastColumn="0"/>
            </w:pPr>
            <w:r>
              <w:t xml:space="preserve">SN </w:t>
            </w:r>
          </w:p>
        </w:tc>
      </w:tr>
      <w:tr w:rsidR="00613AE2"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613AE2" w:rsidRPr="00613AE2" w:rsidRDefault="00613AE2" w:rsidP="002250DD">
            <w:pPr>
              <w:jc w:val="center"/>
              <w:rPr>
                <w:b w:val="0"/>
              </w:rPr>
            </w:pPr>
            <w:r>
              <w:rPr>
                <w:b w:val="0"/>
              </w:rPr>
              <w:t>5</w:t>
            </w:r>
          </w:p>
        </w:tc>
        <w:tc>
          <w:tcPr>
            <w:tcW w:w="3081" w:type="dxa"/>
          </w:tcPr>
          <w:p w:rsidR="00613AE2" w:rsidRDefault="00613AE2" w:rsidP="002250DD">
            <w:pPr>
              <w:jc w:val="center"/>
              <w:cnfStyle w:val="000000100000" w:firstRow="0" w:lastRow="0" w:firstColumn="0" w:lastColumn="0" w:oddVBand="0" w:evenVBand="0" w:oddHBand="1" w:evenHBand="0" w:firstRowFirstColumn="0" w:firstRowLastColumn="0" w:lastRowFirstColumn="0" w:lastRowLastColumn="0"/>
            </w:pPr>
            <w:r>
              <w:t>27.01.2016</w:t>
            </w:r>
          </w:p>
        </w:tc>
        <w:tc>
          <w:tcPr>
            <w:tcW w:w="3081" w:type="dxa"/>
          </w:tcPr>
          <w:p w:rsidR="00613AE2" w:rsidRDefault="00613AE2" w:rsidP="002250DD">
            <w:pPr>
              <w:jc w:val="center"/>
              <w:cnfStyle w:val="000000100000" w:firstRow="0" w:lastRow="0" w:firstColumn="0" w:lastColumn="0" w:oddVBand="0" w:evenVBand="0" w:oddHBand="1" w:evenHBand="0" w:firstRowFirstColumn="0" w:firstRowLastColumn="0" w:lastRowFirstColumn="0" w:lastRowLastColumn="0"/>
            </w:pPr>
            <w:r>
              <w:t>SG</w:t>
            </w:r>
          </w:p>
        </w:tc>
      </w:tr>
    </w:tbl>
    <w:p w:rsidR="00046EAE" w:rsidRDefault="00707A15" w:rsidP="00046EAE">
      <w:pPr>
        <w:rPr>
          <w:b/>
          <w:sz w:val="32"/>
        </w:rPr>
      </w:pPr>
      <w:r w:rsidRPr="00707A15">
        <w:rPr>
          <w:b/>
          <w:sz w:val="32"/>
        </w:rPr>
        <w:lastRenderedPageBreak/>
        <w:t>Summary</w:t>
      </w:r>
    </w:p>
    <w:p w:rsidR="00CE6227" w:rsidRPr="00CE6227" w:rsidRDefault="00CE6227" w:rsidP="00CE6227">
      <w:pPr>
        <w:jc w:val="both"/>
        <w:rPr>
          <w:rFonts w:cstheme="minorHAnsi"/>
        </w:rPr>
      </w:pPr>
      <w:r w:rsidRPr="00CE6227">
        <w:rPr>
          <w:rFonts w:cstheme="minorHAnsi"/>
        </w:rPr>
        <w:t xml:space="preserve">The Constitution of the Hashemite Kingdom of Jordan was adopted in </w:t>
      </w:r>
      <w:r>
        <w:rPr>
          <w:rFonts w:cstheme="minorHAnsi"/>
        </w:rPr>
        <w:t xml:space="preserve">January </w:t>
      </w:r>
      <w:r w:rsidRPr="00CE6227">
        <w:rPr>
          <w:rFonts w:cstheme="minorHAnsi"/>
        </w:rPr>
        <w:t>1952</w:t>
      </w:r>
      <w:r w:rsidR="00C96372">
        <w:rPr>
          <w:rFonts w:cstheme="minorHAnsi"/>
        </w:rPr>
        <w:t xml:space="preserve"> and </w:t>
      </w:r>
      <w:r w:rsidRPr="00CE6227">
        <w:rPr>
          <w:rFonts w:cstheme="minorHAnsi"/>
        </w:rPr>
        <w:t xml:space="preserve">has been amended </w:t>
      </w:r>
      <w:r w:rsidR="00C96372">
        <w:rPr>
          <w:rFonts w:cstheme="minorHAnsi"/>
        </w:rPr>
        <w:t xml:space="preserve">several </w:t>
      </w:r>
      <w:r w:rsidRPr="00CE6227">
        <w:rPr>
          <w:rFonts w:cstheme="minorHAnsi"/>
        </w:rPr>
        <w:t xml:space="preserve">times. </w:t>
      </w:r>
      <w:r>
        <w:rPr>
          <w:rFonts w:cstheme="minorHAnsi"/>
        </w:rPr>
        <w:t xml:space="preserve">While the </w:t>
      </w:r>
      <w:r w:rsidRPr="00CE6227">
        <w:rPr>
          <w:rFonts w:cstheme="minorHAnsi"/>
        </w:rPr>
        <w:t xml:space="preserve">Constitution does not expressly provide for the right to adequate </w:t>
      </w:r>
      <w:r>
        <w:rPr>
          <w:rFonts w:cstheme="minorHAnsi"/>
        </w:rPr>
        <w:t>housing, it pr</w:t>
      </w:r>
      <w:r w:rsidRPr="00CE6227">
        <w:rPr>
          <w:rFonts w:cstheme="minorHAnsi"/>
        </w:rPr>
        <w:t xml:space="preserve">ovides for the inviolability of dwelling houses. </w:t>
      </w:r>
    </w:p>
    <w:p w:rsidR="00CE6227" w:rsidRPr="00CE6227" w:rsidRDefault="00CE6227" w:rsidP="00CE6227">
      <w:pPr>
        <w:jc w:val="both"/>
        <w:rPr>
          <w:rFonts w:cstheme="minorHAnsi"/>
        </w:rPr>
      </w:pPr>
      <w:r>
        <w:rPr>
          <w:rFonts w:cstheme="minorHAnsi"/>
        </w:rPr>
        <w:t>Jordan</w:t>
      </w:r>
      <w:r w:rsidR="00C96372">
        <w:rPr>
          <w:rFonts w:cstheme="minorHAnsi"/>
        </w:rPr>
        <w:t>’s</w:t>
      </w:r>
      <w:r w:rsidRPr="00CE6227">
        <w:rPr>
          <w:rFonts w:cstheme="minorHAnsi"/>
        </w:rPr>
        <w:t xml:space="preserve"> National Housing </w:t>
      </w:r>
      <w:r>
        <w:rPr>
          <w:rFonts w:cstheme="minorHAnsi"/>
        </w:rPr>
        <w:t xml:space="preserve">Strategy </w:t>
      </w:r>
      <w:r w:rsidRPr="00CE6227">
        <w:rPr>
          <w:rFonts w:cstheme="minorHAnsi"/>
        </w:rPr>
        <w:t xml:space="preserve">was developed with the aim of improving the state </w:t>
      </w:r>
      <w:r>
        <w:rPr>
          <w:rFonts w:cstheme="minorHAnsi"/>
        </w:rPr>
        <w:t xml:space="preserve">of housing and urbanization in Jordan. </w:t>
      </w:r>
      <w:r w:rsidRPr="00CE6227">
        <w:rPr>
          <w:rFonts w:cstheme="minorHAnsi"/>
        </w:rPr>
        <w:t xml:space="preserve">The relevant institution for the implementation of the right to adequate housing is the Ministry of </w:t>
      </w:r>
      <w:r>
        <w:rPr>
          <w:rFonts w:cstheme="minorHAnsi"/>
        </w:rPr>
        <w:t xml:space="preserve">Public Works </w:t>
      </w:r>
      <w:r w:rsidRPr="00CE6227">
        <w:rPr>
          <w:rFonts w:cstheme="minorHAnsi"/>
        </w:rPr>
        <w:t>and Housing.</w:t>
      </w:r>
      <w:r>
        <w:rPr>
          <w:rFonts w:cstheme="minorHAnsi"/>
        </w:rPr>
        <w:t xml:space="preserve"> Jordan also has a </w:t>
      </w:r>
      <w:r w:rsidRPr="00CE6227">
        <w:rPr>
          <w:rFonts w:cstheme="minorHAnsi"/>
        </w:rPr>
        <w:t>Housing and Urban Development Corporation</w:t>
      </w:r>
      <w:r>
        <w:rPr>
          <w:rFonts w:cstheme="minorHAnsi"/>
        </w:rPr>
        <w:t>.</w:t>
      </w:r>
    </w:p>
    <w:p w:rsidR="00CE6227" w:rsidRPr="00CE6227" w:rsidRDefault="00613E9A" w:rsidP="00CE6227">
      <w:pPr>
        <w:jc w:val="both"/>
        <w:rPr>
          <w:rFonts w:cstheme="minorHAnsi"/>
        </w:rPr>
      </w:pPr>
      <w:r>
        <w:rPr>
          <w:rFonts w:cstheme="minorHAnsi"/>
        </w:rPr>
        <w:t>Jordan</w:t>
      </w:r>
      <w:r w:rsidR="00CE6227" w:rsidRPr="00CE6227">
        <w:rPr>
          <w:rFonts w:cstheme="minorHAnsi"/>
        </w:rPr>
        <w:t xml:space="preserve"> is a State Party to the International Covenant on Economic, Social and Cultural Rights, which includes the right to adequate housing as a component of the right to an adequate standard of living.</w:t>
      </w:r>
      <w:r w:rsidR="00486771" w:rsidRPr="00486771">
        <w:rPr>
          <w:rFonts w:cstheme="minorHAnsi"/>
        </w:rPr>
        <w:t xml:space="preserve"> </w:t>
      </w:r>
      <w:r w:rsidR="00486771">
        <w:rPr>
          <w:rFonts w:cstheme="minorHAnsi"/>
        </w:rPr>
        <w:t xml:space="preserve">Jordan </w:t>
      </w:r>
      <w:r w:rsidR="00486771" w:rsidRPr="00CE6227">
        <w:rPr>
          <w:rFonts w:cstheme="minorHAnsi"/>
        </w:rPr>
        <w:t xml:space="preserve">has also ratified </w:t>
      </w:r>
      <w:r w:rsidR="00486771">
        <w:rPr>
          <w:rFonts w:cstheme="minorHAnsi"/>
        </w:rPr>
        <w:t xml:space="preserve">other </w:t>
      </w:r>
      <w:r w:rsidR="00486771" w:rsidRPr="00CE6227">
        <w:rPr>
          <w:rFonts w:cstheme="minorHAnsi"/>
        </w:rPr>
        <w:t>important treaties and conventions which provide for</w:t>
      </w:r>
      <w:r w:rsidR="00486771">
        <w:rPr>
          <w:rFonts w:cstheme="minorHAnsi"/>
        </w:rPr>
        <w:t xml:space="preserve"> the right to adequate housing</w:t>
      </w:r>
      <w:r w:rsidR="00D506E7">
        <w:rPr>
          <w:rFonts w:cstheme="minorHAnsi"/>
        </w:rPr>
        <w:t>, but not all of the major human rights treaties and conventions</w:t>
      </w:r>
      <w:r w:rsidR="00486771">
        <w:rPr>
          <w:rFonts w:cstheme="minorHAnsi"/>
        </w:rPr>
        <w:t>.</w:t>
      </w:r>
    </w:p>
    <w:p w:rsidR="00CE6227" w:rsidRPr="00CE6227" w:rsidRDefault="00CE6227" w:rsidP="00CE6227">
      <w:pPr>
        <w:jc w:val="both"/>
        <w:rPr>
          <w:rFonts w:cstheme="minorHAnsi"/>
        </w:rPr>
      </w:pPr>
      <w:r w:rsidRPr="00CE6227">
        <w:rPr>
          <w:rFonts w:cstheme="minorHAnsi"/>
        </w:rPr>
        <w:t xml:space="preserve">United Nations review mechanisms have generally given positive feedback on the continual pursuit </w:t>
      </w:r>
      <w:bookmarkStart w:id="0" w:name="_GoBack"/>
      <w:bookmarkEnd w:id="0"/>
      <w:r w:rsidR="00BF7D0E">
        <w:rPr>
          <w:rFonts w:eastAsia="Times New Roman" w:cstheme="minorHAnsi"/>
          <w:color w:val="000000"/>
          <w:lang w:eastAsia="en-AU"/>
        </w:rPr>
        <w:t>of improved standard of living, and the efforts to improve the conditions of persons with disabilities in this regard.</w:t>
      </w:r>
      <w:r w:rsidRPr="00CE6227">
        <w:rPr>
          <w:rFonts w:cstheme="minorHAnsi"/>
        </w:rPr>
        <w:t xml:space="preserve"> UN-Habitat has worked on a number of projects in </w:t>
      </w:r>
      <w:r w:rsidR="00613E9A">
        <w:rPr>
          <w:rFonts w:cstheme="minorHAnsi"/>
        </w:rPr>
        <w:t>Jordan</w:t>
      </w:r>
      <w:r w:rsidRPr="00CE6227">
        <w:rPr>
          <w:rFonts w:cstheme="minorHAnsi"/>
        </w:rPr>
        <w:t>.</w:t>
      </w:r>
    </w:p>
    <w:p w:rsidR="00860FA2" w:rsidRDefault="00CE6227" w:rsidP="00046EAE">
      <w:pPr>
        <w:jc w:val="both"/>
        <w:rPr>
          <w:rFonts w:eastAsia="Times New Roman" w:cstheme="minorHAnsi"/>
          <w:color w:val="000000"/>
          <w:lang w:eastAsia="en-AU"/>
        </w:rPr>
      </w:pPr>
      <w:r>
        <w:rPr>
          <w:rFonts w:cstheme="minorHAnsi"/>
        </w:rPr>
        <w:t xml:space="preserve"> </w:t>
      </w:r>
    </w:p>
    <w:p w:rsidR="00860FA2" w:rsidRDefault="00860FA2" w:rsidP="00046EAE">
      <w:pPr>
        <w:jc w:val="both"/>
        <w:rPr>
          <w:rFonts w:eastAsia="Times New Roman" w:cstheme="minorHAnsi"/>
          <w:color w:val="000000"/>
          <w:lang w:eastAsia="en-AU"/>
        </w:rPr>
      </w:pPr>
    </w:p>
    <w:p w:rsidR="0080312B" w:rsidRDefault="0080312B" w:rsidP="00046EAE">
      <w:pPr>
        <w:jc w:val="both"/>
        <w:rPr>
          <w:b/>
        </w:rPr>
      </w:pPr>
      <w:r>
        <w:rPr>
          <w:b/>
        </w:rPr>
        <w:br w:type="page"/>
      </w:r>
    </w:p>
    <w:p w:rsidR="002E7D99" w:rsidRPr="00437199" w:rsidRDefault="0080312B" w:rsidP="002250DD">
      <w:pPr>
        <w:rPr>
          <w:b/>
          <w:sz w:val="28"/>
        </w:rPr>
      </w:pPr>
      <w:r w:rsidRPr="00437199">
        <w:rPr>
          <w:b/>
          <w:sz w:val="28"/>
        </w:rPr>
        <w:lastRenderedPageBreak/>
        <w:t>Legal Framework</w:t>
      </w:r>
    </w:p>
    <w:p w:rsidR="00697C43" w:rsidRDefault="0080312B" w:rsidP="00D80D56">
      <w:pPr>
        <w:rPr>
          <w:b/>
          <w:i/>
        </w:rPr>
      </w:pPr>
      <w:r w:rsidRPr="00437199">
        <w:rPr>
          <w:b/>
          <w:i/>
        </w:rPr>
        <w:t>Constitution</w:t>
      </w:r>
      <w:r w:rsidR="00BF207E">
        <w:rPr>
          <w:rStyle w:val="FootnoteReference"/>
          <w:b/>
          <w:i/>
        </w:rPr>
        <w:footnoteReference w:id="1"/>
      </w:r>
    </w:p>
    <w:p w:rsidR="00AE4B9C" w:rsidRDefault="00AE4B9C" w:rsidP="00AE4B9C">
      <w:pPr>
        <w:jc w:val="both"/>
      </w:pPr>
      <w:r>
        <w:t xml:space="preserve">The Constitution of the Hashemite Kingdom of Jordan was adopted in 1952, but has been amended many times. The Constitution of Jordan does not expressly provide for the right to adequate housing. The only provision that relates to this right is Article 10 which provides for the inviolability of dwelling houses. </w:t>
      </w:r>
    </w:p>
    <w:p w:rsidR="00D80D56" w:rsidRDefault="004C5E97" w:rsidP="00AE4B9C">
      <w:pPr>
        <w:jc w:val="both"/>
      </w:pPr>
      <w:r>
        <w:t>‘Article10: Dwelling houses shall be inviolable and may not be entered except in the circumstances prescribed by law, and in the manner provided for therein.’</w:t>
      </w:r>
    </w:p>
    <w:p w:rsidR="004C5E97" w:rsidRPr="00D80D56" w:rsidRDefault="004C5E97" w:rsidP="00D80D56">
      <w:pPr>
        <w:rPr>
          <w:b/>
          <w:i/>
        </w:rPr>
      </w:pPr>
    </w:p>
    <w:p w:rsidR="002E7D99" w:rsidRPr="00437199" w:rsidRDefault="002E7D99" w:rsidP="00825851">
      <w:pPr>
        <w:jc w:val="both"/>
        <w:rPr>
          <w:b/>
          <w:sz w:val="28"/>
        </w:rPr>
      </w:pPr>
      <w:r w:rsidRPr="00437199">
        <w:rPr>
          <w:b/>
          <w:sz w:val="28"/>
        </w:rPr>
        <w:t>Government</w:t>
      </w:r>
    </w:p>
    <w:p w:rsidR="001F4004" w:rsidRDefault="0080312B" w:rsidP="004C5E97">
      <w:pPr>
        <w:rPr>
          <w:b/>
          <w:i/>
        </w:rPr>
      </w:pPr>
      <w:r w:rsidRPr="00437199">
        <w:rPr>
          <w:b/>
          <w:i/>
        </w:rPr>
        <w:t xml:space="preserve">Political System </w:t>
      </w:r>
      <w:r w:rsidR="004C5E97">
        <w:rPr>
          <w:b/>
          <w:i/>
        </w:rPr>
        <w:t xml:space="preserve"> </w:t>
      </w:r>
    </w:p>
    <w:p w:rsidR="004C5E97" w:rsidRPr="00AE4B9C" w:rsidRDefault="00AE4B9C" w:rsidP="00150789">
      <w:pPr>
        <w:jc w:val="both"/>
      </w:pPr>
      <w:r>
        <w:t xml:space="preserve">Jordan is </w:t>
      </w:r>
      <w:r w:rsidR="00486771">
        <w:t>a constitutional monarchy</w:t>
      </w:r>
      <w:r w:rsidR="00486771">
        <w:t xml:space="preserve"> with</w:t>
      </w:r>
      <w:r>
        <w:t xml:space="preserve"> a multi-party system, </w:t>
      </w:r>
      <w:r w:rsidR="00486771">
        <w:t xml:space="preserve">where </w:t>
      </w:r>
      <w:r>
        <w:t xml:space="preserve">the Prime Minister as the head of government. Executive power is exercised by the King alongside his Cabinet. In Jordan, it is the King who also signs, executes or vetoes laws.  </w:t>
      </w:r>
    </w:p>
    <w:p w:rsidR="00437199" w:rsidRPr="00377121" w:rsidRDefault="005A6182" w:rsidP="002250DD">
      <w:pPr>
        <w:rPr>
          <w:b/>
          <w:u w:val="single"/>
        </w:rPr>
      </w:pPr>
      <w:r w:rsidRPr="00377121">
        <w:rPr>
          <w:rFonts w:cstheme="minorHAnsi"/>
          <w:b/>
          <w:i/>
          <w:u w:val="single"/>
        </w:rPr>
        <w:t>Ministry of Public Works and Housing</w:t>
      </w:r>
      <w:r w:rsidR="00377121">
        <w:rPr>
          <w:rStyle w:val="FootnoteReference"/>
          <w:rFonts w:cstheme="minorHAnsi"/>
          <w:b/>
          <w:i/>
          <w:u w:val="single"/>
        </w:rPr>
        <w:footnoteReference w:id="2"/>
      </w:r>
    </w:p>
    <w:p w:rsidR="00437199" w:rsidRDefault="00377121" w:rsidP="00377121">
      <w:pPr>
        <w:autoSpaceDE w:val="0"/>
        <w:autoSpaceDN w:val="0"/>
        <w:adjustRightInd w:val="0"/>
        <w:spacing w:after="0"/>
        <w:jc w:val="both"/>
        <w:rPr>
          <w:rFonts w:cstheme="minorHAnsi"/>
        </w:rPr>
      </w:pPr>
      <w:r>
        <w:rPr>
          <w:rFonts w:cstheme="minorHAnsi"/>
        </w:rPr>
        <w:t xml:space="preserve">The Ministry of Public Works and Housing is the relevant institution for the implementation of the right to adequate housing in Jordan. It is not only responsible for the development of policies for the housing sector but it is also charged with the task of overseeing housing projects to boost economic activity while reducing poverty levels.  </w:t>
      </w:r>
    </w:p>
    <w:p w:rsidR="00986A6C" w:rsidRPr="00825851" w:rsidRDefault="00986A6C" w:rsidP="002250DD">
      <w:pPr>
        <w:autoSpaceDE w:val="0"/>
        <w:autoSpaceDN w:val="0"/>
        <w:adjustRightInd w:val="0"/>
        <w:spacing w:after="0"/>
        <w:rPr>
          <w:rFonts w:cstheme="minorHAnsi"/>
        </w:rPr>
      </w:pPr>
    </w:p>
    <w:p w:rsidR="00986A6C" w:rsidRPr="00970F85" w:rsidRDefault="005A6182" w:rsidP="005A6182">
      <w:pPr>
        <w:jc w:val="both"/>
        <w:rPr>
          <w:rFonts w:cstheme="minorHAnsi"/>
          <w:b/>
          <w:i/>
          <w:u w:val="single"/>
          <w:lang w:val="en-GB"/>
        </w:rPr>
      </w:pPr>
      <w:r w:rsidRPr="00970F85">
        <w:rPr>
          <w:rFonts w:cstheme="minorHAnsi"/>
          <w:b/>
          <w:i/>
          <w:u w:val="single"/>
        </w:rPr>
        <w:t>Housing and Urban Development Corporation</w:t>
      </w:r>
      <w:r w:rsidR="00970F85" w:rsidRPr="00970F85">
        <w:rPr>
          <w:rStyle w:val="FootnoteReference"/>
          <w:rFonts w:cstheme="minorHAnsi"/>
          <w:b/>
          <w:i/>
          <w:u w:val="single"/>
        </w:rPr>
        <w:footnoteReference w:id="3"/>
      </w:r>
      <w:r w:rsidRPr="00970F85">
        <w:rPr>
          <w:rFonts w:cstheme="minorHAnsi"/>
          <w:b/>
          <w:i/>
          <w:u w:val="single"/>
          <w:lang w:val="en-GB"/>
        </w:rPr>
        <w:t xml:space="preserve"> </w:t>
      </w:r>
    </w:p>
    <w:p w:rsidR="005A6182" w:rsidRDefault="00377121" w:rsidP="005A6182">
      <w:pPr>
        <w:jc w:val="both"/>
        <w:rPr>
          <w:rFonts w:cstheme="minorHAnsi"/>
        </w:rPr>
      </w:pPr>
      <w:r>
        <w:rPr>
          <w:rFonts w:cstheme="minorHAnsi"/>
        </w:rPr>
        <w:t xml:space="preserve">The </w:t>
      </w:r>
      <w:r w:rsidRPr="00377121">
        <w:rPr>
          <w:rFonts w:cstheme="minorHAnsi"/>
        </w:rPr>
        <w:t>Housing and Urban Development Corporation seeks</w:t>
      </w:r>
      <w:r w:rsidR="00970F85">
        <w:rPr>
          <w:rFonts w:cstheme="minorHAnsi"/>
        </w:rPr>
        <w:t>,</w:t>
      </w:r>
      <w:r w:rsidRPr="00377121">
        <w:rPr>
          <w:rFonts w:cstheme="minorHAnsi"/>
        </w:rPr>
        <w:t xml:space="preserve"> through the National Housing Strategy</w:t>
      </w:r>
      <w:r w:rsidR="00970F85">
        <w:rPr>
          <w:rFonts w:cstheme="minorHAnsi"/>
        </w:rPr>
        <w:t>,</w:t>
      </w:r>
      <w:r w:rsidRPr="00377121">
        <w:rPr>
          <w:rFonts w:cstheme="minorHAnsi"/>
        </w:rPr>
        <w:t xml:space="preserve"> to achieve its vision and mission which includes enabling the Jordanian citizens to access adequate housing with special em</w:t>
      </w:r>
      <w:r w:rsidR="00970F85">
        <w:rPr>
          <w:rFonts w:cstheme="minorHAnsi"/>
        </w:rPr>
        <w:t>phasis on limited income groups. It also seeks to</w:t>
      </w:r>
      <w:r w:rsidRPr="00377121">
        <w:rPr>
          <w:rFonts w:cstheme="minorHAnsi"/>
        </w:rPr>
        <w:t xml:space="preserve"> contrib</w:t>
      </w:r>
      <w:r w:rsidR="00970F85">
        <w:rPr>
          <w:rFonts w:cstheme="minorHAnsi"/>
        </w:rPr>
        <w:t xml:space="preserve">ute to </w:t>
      </w:r>
      <w:r w:rsidRPr="00377121">
        <w:rPr>
          <w:rFonts w:cstheme="minorHAnsi"/>
        </w:rPr>
        <w:t xml:space="preserve">national development and </w:t>
      </w:r>
      <w:r w:rsidR="00970F85">
        <w:rPr>
          <w:rFonts w:cstheme="minorHAnsi"/>
        </w:rPr>
        <w:t xml:space="preserve">the </w:t>
      </w:r>
      <w:r w:rsidRPr="00377121">
        <w:rPr>
          <w:rFonts w:cstheme="minorHAnsi"/>
        </w:rPr>
        <w:t>develop</w:t>
      </w:r>
      <w:r w:rsidR="00970F85">
        <w:rPr>
          <w:rFonts w:cstheme="minorHAnsi"/>
        </w:rPr>
        <w:t>ment of</w:t>
      </w:r>
      <w:r w:rsidRPr="00377121">
        <w:rPr>
          <w:rFonts w:cstheme="minorHAnsi"/>
        </w:rPr>
        <w:t xml:space="preserve"> the housing sector in Jordan through formulating of comprehensive housing policies and activating public private sector partnership</w:t>
      </w:r>
      <w:r w:rsidR="00970F85">
        <w:rPr>
          <w:rFonts w:cstheme="minorHAnsi"/>
        </w:rPr>
        <w:t>s.</w:t>
      </w:r>
    </w:p>
    <w:p w:rsidR="00970F85" w:rsidRDefault="00970F85" w:rsidP="005A6182">
      <w:pPr>
        <w:jc w:val="both"/>
        <w:rPr>
          <w:rFonts w:cstheme="minorHAnsi"/>
        </w:rPr>
      </w:pPr>
    </w:p>
    <w:p w:rsidR="00970F85" w:rsidRDefault="00970F85" w:rsidP="005A6182">
      <w:pPr>
        <w:jc w:val="both"/>
        <w:rPr>
          <w:rFonts w:cstheme="minorHAnsi"/>
        </w:rPr>
      </w:pPr>
    </w:p>
    <w:p w:rsidR="00970F85" w:rsidRDefault="00970F85" w:rsidP="005A6182">
      <w:pPr>
        <w:jc w:val="both"/>
        <w:rPr>
          <w:rFonts w:cstheme="minorHAnsi"/>
        </w:rPr>
      </w:pPr>
    </w:p>
    <w:p w:rsidR="00970F85" w:rsidRDefault="00970F85" w:rsidP="005A6182">
      <w:pPr>
        <w:jc w:val="both"/>
        <w:rPr>
          <w:rFonts w:cstheme="minorHAnsi"/>
          <w:b/>
          <w:i/>
          <w:u w:val="single"/>
        </w:rPr>
      </w:pPr>
      <w:r w:rsidRPr="00970F85">
        <w:rPr>
          <w:rFonts w:cstheme="minorHAnsi"/>
          <w:b/>
          <w:i/>
          <w:u w:val="single"/>
        </w:rPr>
        <w:lastRenderedPageBreak/>
        <w:t>National Housing Strategy (1989)</w:t>
      </w:r>
    </w:p>
    <w:p w:rsidR="00970F85" w:rsidRPr="00377121" w:rsidRDefault="00970F85" w:rsidP="005A6182">
      <w:pPr>
        <w:jc w:val="both"/>
        <w:rPr>
          <w:rFonts w:cstheme="minorHAnsi"/>
          <w:lang w:val="en-GB"/>
        </w:rPr>
      </w:pPr>
      <w:r>
        <w:rPr>
          <w:rFonts w:cstheme="minorHAnsi"/>
        </w:rPr>
        <w:t>T</w:t>
      </w:r>
      <w:r w:rsidRPr="00970F85">
        <w:rPr>
          <w:rFonts w:cstheme="minorHAnsi"/>
        </w:rPr>
        <w:t>he government of Jordan prepared the National Housing Strategy &amp; adopted it in 1989. The strategy covered all the housing components and produced a whole set of recommendations that governs the housing sector's activities</w:t>
      </w:r>
      <w:r>
        <w:rPr>
          <w:rFonts w:cstheme="minorHAnsi"/>
        </w:rPr>
        <w:t>.</w:t>
      </w:r>
    </w:p>
    <w:p w:rsidR="00970F85" w:rsidRDefault="00970F85" w:rsidP="002250DD">
      <w:pPr>
        <w:rPr>
          <w:b/>
          <w:sz w:val="28"/>
        </w:rPr>
      </w:pPr>
    </w:p>
    <w:p w:rsidR="00825851" w:rsidRDefault="0080312B" w:rsidP="002250DD">
      <w:pPr>
        <w:rPr>
          <w:b/>
          <w:sz w:val="28"/>
        </w:rPr>
      </w:pPr>
      <w:r w:rsidRPr="00FB7E00">
        <w:rPr>
          <w:b/>
          <w:sz w:val="28"/>
        </w:rPr>
        <w:t>Judiciary</w:t>
      </w:r>
    </w:p>
    <w:p w:rsidR="00F4352B" w:rsidRDefault="00486771" w:rsidP="002250DD">
      <w:r>
        <w:t>N</w:t>
      </w:r>
      <w:r w:rsidR="00FB7E00">
        <w:t xml:space="preserve">o legal decisions regarding land and housing could be sourced. </w:t>
      </w: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970F85" w:rsidRDefault="00970F85" w:rsidP="00053462">
      <w:pPr>
        <w:rPr>
          <w:b/>
          <w:sz w:val="28"/>
        </w:rPr>
      </w:pPr>
    </w:p>
    <w:p w:rsidR="00053462" w:rsidRDefault="00FB7E00" w:rsidP="00053462">
      <w:r w:rsidRPr="00FB7E00">
        <w:rPr>
          <w:b/>
          <w:sz w:val="28"/>
        </w:rPr>
        <w:lastRenderedPageBreak/>
        <w:t>International Conventions</w:t>
      </w:r>
      <w:r w:rsidR="00376665">
        <w:rPr>
          <w:rStyle w:val="FootnoteReference"/>
          <w:b/>
          <w:sz w:val="28"/>
        </w:rPr>
        <w:footnoteReference w:id="4"/>
      </w:r>
    </w:p>
    <w:p w:rsidR="00341378" w:rsidRPr="00053462" w:rsidRDefault="00341378" w:rsidP="00970F85">
      <w:pPr>
        <w:jc w:val="both"/>
      </w:pPr>
      <w:r>
        <w:rPr>
          <w:rFonts w:eastAsia="Times New Roman" w:cstheme="minorHAnsi"/>
          <w:color w:val="000000"/>
          <w:lang w:eastAsia="en-AU"/>
        </w:rPr>
        <w:t xml:space="preserve">The State has ratified all of the major human rights conventions, including the Covenant on Economic, Social and Political Rights, which includes the </w:t>
      </w:r>
      <w:r w:rsidR="007A1DD8">
        <w:rPr>
          <w:rFonts w:eastAsia="Times New Roman" w:cstheme="minorHAnsi"/>
          <w:color w:val="000000"/>
          <w:lang w:eastAsia="en-AU"/>
        </w:rPr>
        <w:t>r</w:t>
      </w:r>
      <w:r>
        <w:rPr>
          <w:rFonts w:eastAsia="Times New Roman" w:cstheme="minorHAnsi"/>
          <w:color w:val="000000"/>
          <w:lang w:eastAsia="en-AU"/>
        </w:rPr>
        <w:t>i</w:t>
      </w:r>
      <w:r w:rsidR="007A1DD8">
        <w:rPr>
          <w:rFonts w:eastAsia="Times New Roman" w:cstheme="minorHAnsi"/>
          <w:color w:val="000000"/>
          <w:lang w:eastAsia="en-AU"/>
        </w:rPr>
        <w:t>ght to a</w:t>
      </w:r>
      <w:r>
        <w:rPr>
          <w:rFonts w:eastAsia="Times New Roman" w:cstheme="minorHAnsi"/>
          <w:color w:val="000000"/>
          <w:lang w:eastAsia="en-AU"/>
        </w:rPr>
        <w:t xml:space="preserve">dequate </w:t>
      </w:r>
      <w:r w:rsidR="007A1DD8">
        <w:rPr>
          <w:rFonts w:eastAsia="Times New Roman" w:cstheme="minorHAnsi"/>
          <w:color w:val="000000"/>
          <w:lang w:eastAsia="en-AU"/>
        </w:rPr>
        <w:t>housing as a component of the r</w:t>
      </w:r>
      <w:r>
        <w:rPr>
          <w:rFonts w:eastAsia="Times New Roman" w:cstheme="minorHAnsi"/>
          <w:color w:val="000000"/>
          <w:lang w:eastAsia="en-AU"/>
        </w:rPr>
        <w:t xml:space="preserve">ight to an </w:t>
      </w:r>
      <w:r w:rsidR="007A1DD8">
        <w:rPr>
          <w:rFonts w:eastAsia="Times New Roman" w:cstheme="minorHAnsi"/>
          <w:color w:val="000000"/>
          <w:lang w:eastAsia="en-AU"/>
        </w:rPr>
        <w:t>a</w:t>
      </w:r>
      <w:r>
        <w:rPr>
          <w:rFonts w:eastAsia="Times New Roman" w:cstheme="minorHAnsi"/>
          <w:color w:val="000000"/>
          <w:lang w:eastAsia="en-AU"/>
        </w:rPr>
        <w:t xml:space="preserve">dequate </w:t>
      </w:r>
      <w:r w:rsidR="007A1DD8">
        <w:rPr>
          <w:rFonts w:eastAsia="Times New Roman" w:cstheme="minorHAnsi"/>
          <w:color w:val="000000"/>
          <w:lang w:eastAsia="en-AU"/>
        </w:rPr>
        <w:t>s</w:t>
      </w:r>
      <w:r>
        <w:rPr>
          <w:rFonts w:eastAsia="Times New Roman" w:cstheme="minorHAnsi"/>
          <w:color w:val="000000"/>
          <w:lang w:eastAsia="en-AU"/>
        </w:rPr>
        <w:t xml:space="preserve">tandard of </w:t>
      </w:r>
      <w:r w:rsidR="007A1DD8">
        <w:rPr>
          <w:rFonts w:eastAsia="Times New Roman" w:cstheme="minorHAnsi"/>
          <w:color w:val="000000"/>
          <w:lang w:eastAsia="en-AU"/>
        </w:rPr>
        <w:t>l</w:t>
      </w:r>
      <w:r>
        <w:rPr>
          <w:rFonts w:eastAsia="Times New Roman" w:cstheme="minorHAnsi"/>
          <w:color w:val="000000"/>
          <w:lang w:eastAsia="en-AU"/>
        </w:rPr>
        <w:t>iving.</w:t>
      </w:r>
    </w:p>
    <w:tbl>
      <w:tblPr>
        <w:tblStyle w:val="LightShading1"/>
        <w:tblW w:w="5000" w:type="pct"/>
        <w:tblLayout w:type="fixed"/>
        <w:tblLook w:val="04A0" w:firstRow="1" w:lastRow="0" w:firstColumn="1" w:lastColumn="0" w:noHBand="0" w:noVBand="1"/>
      </w:tblPr>
      <w:tblGrid>
        <w:gridCol w:w="3708"/>
        <w:gridCol w:w="1889"/>
        <w:gridCol w:w="1621"/>
        <w:gridCol w:w="2024"/>
      </w:tblGrid>
      <w:tr w:rsidR="0033417F" w:rsidRPr="00C93A1A" w:rsidTr="007A1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023FB0"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1022" w:type="pct"/>
            <w:hideMark/>
          </w:tcPr>
          <w:p w:rsidR="0033417F" w:rsidRPr="00C93A1A" w:rsidRDefault="00023FB0"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877" w:type="pct"/>
            <w:hideMark/>
          </w:tcPr>
          <w:p w:rsidR="0033417F" w:rsidRPr="00C93A1A" w:rsidRDefault="00023FB0"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095" w:type="pct"/>
            <w:hideMark/>
          </w:tcPr>
          <w:p w:rsidR="0033417F" w:rsidRPr="00C93A1A" w:rsidRDefault="00023FB0"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7A1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1022"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877"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095" w:type="pct"/>
            <w:hideMark/>
          </w:tcPr>
          <w:p w:rsidR="0033417F" w:rsidRPr="00C93A1A" w:rsidRDefault="0034137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13 Nov 1991 (a)</w:t>
            </w:r>
          </w:p>
        </w:tc>
      </w:tr>
      <w:tr w:rsidR="0033417F" w:rsidRPr="00C93A1A" w:rsidTr="007A1DD8">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1022"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877" w:type="pct"/>
            <w:hideMark/>
          </w:tcPr>
          <w:p w:rsidR="0033417F" w:rsidRPr="00C93A1A" w:rsidRDefault="0034137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30 Jun 1972</w:t>
            </w:r>
          </w:p>
        </w:tc>
        <w:tc>
          <w:tcPr>
            <w:tcW w:w="1095" w:type="pct"/>
            <w:hideMark/>
          </w:tcPr>
          <w:p w:rsidR="0033417F" w:rsidRPr="00C93A1A" w:rsidRDefault="00341378" w:rsidP="00A50E19">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28 May 1975</w:t>
            </w:r>
          </w:p>
        </w:tc>
      </w:tr>
      <w:tr w:rsidR="0033417F" w:rsidRPr="00C93A1A" w:rsidTr="007A1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1022"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877" w:type="pct"/>
            <w:hideMark/>
          </w:tcPr>
          <w:p w:rsidR="0033417F" w:rsidRPr="00C93A1A" w:rsidRDefault="0034137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3 Dec 1980</w:t>
            </w:r>
          </w:p>
        </w:tc>
        <w:tc>
          <w:tcPr>
            <w:tcW w:w="1095" w:type="pct"/>
            <w:hideMark/>
          </w:tcPr>
          <w:p w:rsidR="0033417F" w:rsidRPr="00C93A1A" w:rsidRDefault="007A1DD8" w:rsidP="007A1DD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w:t>
            </w:r>
            <w:r w:rsidR="00341378">
              <w:rPr>
                <w:rFonts w:eastAsia="Times New Roman" w:cstheme="minorHAnsi"/>
              </w:rPr>
              <w:t>1 Jul 1992</w:t>
            </w:r>
          </w:p>
        </w:tc>
      </w:tr>
      <w:tr w:rsidR="0033417F" w:rsidRPr="00C93A1A" w:rsidTr="007A1DD8">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1022"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877"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095" w:type="pct"/>
            <w:hideMark/>
          </w:tcPr>
          <w:p w:rsidR="0033417F" w:rsidRPr="00C93A1A" w:rsidRDefault="0034137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30 May 1974 (a)</w:t>
            </w:r>
          </w:p>
        </w:tc>
      </w:tr>
      <w:tr w:rsidR="0033417F" w:rsidRPr="00C93A1A" w:rsidTr="007A1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1022"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877" w:type="pct"/>
            <w:hideMark/>
          </w:tcPr>
          <w:p w:rsidR="0033417F" w:rsidRPr="00C93A1A" w:rsidRDefault="0034137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30 Jun 1972</w:t>
            </w:r>
          </w:p>
        </w:tc>
        <w:tc>
          <w:tcPr>
            <w:tcW w:w="1095" w:type="pct"/>
            <w:hideMark/>
          </w:tcPr>
          <w:p w:rsidR="0033417F" w:rsidRPr="00C93A1A" w:rsidRDefault="0034137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28 May 1975</w:t>
            </w:r>
          </w:p>
        </w:tc>
      </w:tr>
      <w:tr w:rsidR="0033417F" w:rsidRPr="00C93A1A" w:rsidTr="007A1DD8">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1022"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877" w:type="pct"/>
            <w:hideMark/>
          </w:tcPr>
          <w:p w:rsidR="009F7AFA" w:rsidRPr="009F7AFA" w:rsidRDefault="00341378" w:rsidP="009F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095" w:type="pct"/>
            <w:hideMark/>
          </w:tcPr>
          <w:p w:rsidR="0033417F" w:rsidRPr="00C93A1A" w:rsidRDefault="00341378" w:rsidP="009F7AFA">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7A1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1022"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877" w:type="pct"/>
            <w:hideMark/>
          </w:tcPr>
          <w:p w:rsidR="0033417F" w:rsidRPr="00C93A1A" w:rsidRDefault="00341378" w:rsidP="009F7AFA">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29 Aug 1990 </w:t>
            </w:r>
          </w:p>
        </w:tc>
        <w:tc>
          <w:tcPr>
            <w:tcW w:w="1095" w:type="pct"/>
            <w:hideMark/>
          </w:tcPr>
          <w:p w:rsidR="0033417F" w:rsidRPr="00C93A1A" w:rsidRDefault="00341378" w:rsidP="009F7AF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24 May 1991</w:t>
            </w:r>
          </w:p>
        </w:tc>
      </w:tr>
      <w:tr w:rsidR="0033417F" w:rsidRPr="00C93A1A" w:rsidTr="007A1DD8">
        <w:tc>
          <w:tcPr>
            <w:cnfStyle w:val="001000000000" w:firstRow="0" w:lastRow="0" w:firstColumn="1" w:lastColumn="0" w:oddVBand="0" w:evenVBand="0" w:oddHBand="0" w:evenHBand="0" w:firstRowFirstColumn="0" w:firstRowLastColumn="0" w:lastRowFirstColumn="0" w:lastRowLastColumn="0"/>
            <w:tcW w:w="2006"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1022"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877" w:type="pct"/>
            <w:hideMark/>
          </w:tcPr>
          <w:p w:rsidR="0033417F" w:rsidRPr="00C93A1A" w:rsidRDefault="00341378" w:rsidP="0034137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30 Mar 2007</w:t>
            </w:r>
          </w:p>
        </w:tc>
        <w:tc>
          <w:tcPr>
            <w:tcW w:w="1095" w:type="pct"/>
            <w:hideMark/>
          </w:tcPr>
          <w:p w:rsidR="0033417F" w:rsidRPr="00C93A1A" w:rsidRDefault="0034137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31 Mar 2008</w:t>
            </w:r>
          </w:p>
        </w:tc>
      </w:tr>
      <w:tr w:rsidR="00480F96" w:rsidRPr="00C93A1A" w:rsidTr="007A1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6" w:type="pct"/>
          </w:tcPr>
          <w:p w:rsidR="00480F96" w:rsidRPr="00C93A1A" w:rsidRDefault="00480F96" w:rsidP="00480F96">
            <w:pPr>
              <w:rPr>
                <w:rFonts w:eastAsia="Times New Roman" w:cstheme="minorHAnsi"/>
              </w:rPr>
            </w:pPr>
            <w:r>
              <w:rPr>
                <w:rFonts w:eastAsia="Times New Roman" w:cstheme="minorHAnsi"/>
                <w:b w:val="0"/>
              </w:rPr>
              <w:t xml:space="preserve">Convention </w:t>
            </w:r>
            <w:r w:rsidRPr="00F30F93">
              <w:rPr>
                <w:rFonts w:eastAsia="Times New Roman" w:cstheme="minorHAnsi"/>
                <w:b w:val="0"/>
              </w:rPr>
              <w:t>Relating to the Status of Refugees</w:t>
            </w:r>
          </w:p>
        </w:tc>
        <w:tc>
          <w:tcPr>
            <w:tcW w:w="1022" w:type="pct"/>
          </w:tcPr>
          <w:p w:rsidR="00480F96" w:rsidRPr="00C93A1A" w:rsidRDefault="00480F96" w:rsidP="0029148B">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877" w:type="pct"/>
          </w:tcPr>
          <w:p w:rsidR="00480F96" w:rsidRPr="009F7AFA" w:rsidRDefault="00341378" w:rsidP="009F7AFA">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095" w:type="pct"/>
          </w:tcPr>
          <w:p w:rsidR="00480F96" w:rsidRPr="009F7AFA" w:rsidRDefault="00341378"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r>
      <w:tr w:rsidR="00480F96" w:rsidRPr="00C93A1A" w:rsidTr="007A1DD8">
        <w:tc>
          <w:tcPr>
            <w:cnfStyle w:val="001000000000" w:firstRow="0" w:lastRow="0" w:firstColumn="1" w:lastColumn="0" w:oddVBand="0" w:evenVBand="0" w:oddHBand="0" w:evenHBand="0" w:firstRowFirstColumn="0" w:firstRowLastColumn="0" w:lastRowFirstColumn="0" w:lastRowLastColumn="0"/>
            <w:tcW w:w="2006" w:type="pct"/>
          </w:tcPr>
          <w:p w:rsidR="00480F96" w:rsidRPr="00F30F93" w:rsidRDefault="00480F96" w:rsidP="00BD345A">
            <w:pPr>
              <w:rPr>
                <w:rFonts w:eastAsia="Times New Roman" w:cstheme="minorHAnsi"/>
                <w:b w:val="0"/>
              </w:rPr>
            </w:pPr>
            <w:r>
              <w:rPr>
                <w:rFonts w:eastAsia="Times New Roman" w:cstheme="minorHAnsi"/>
                <w:b w:val="0"/>
              </w:rPr>
              <w:t>Protocol</w:t>
            </w:r>
            <w:r w:rsidRPr="00F30F93">
              <w:rPr>
                <w:rFonts w:eastAsia="Times New Roman" w:cstheme="minorHAnsi"/>
                <w:b w:val="0"/>
              </w:rPr>
              <w:t xml:space="preserve"> Relating to the Status of Refugees </w:t>
            </w:r>
          </w:p>
        </w:tc>
        <w:tc>
          <w:tcPr>
            <w:tcW w:w="1022" w:type="pct"/>
          </w:tcPr>
          <w:p w:rsidR="00480F96" w:rsidRPr="00C93A1A" w:rsidRDefault="00480F96"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877" w:type="pct"/>
          </w:tcPr>
          <w:p w:rsidR="00480F96" w:rsidRPr="009F7AFA" w:rsidRDefault="00480F96" w:rsidP="009F7AFA">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95" w:type="pct"/>
          </w:tcPr>
          <w:p w:rsidR="00480F96" w:rsidRPr="009F7AFA" w:rsidRDefault="00341378"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bl>
    <w:p w:rsidR="00053462" w:rsidRDefault="00223626" w:rsidP="00053462">
      <w:r>
        <w:t xml:space="preserve"> Jordan</w:t>
      </w:r>
      <w:r w:rsidR="009F7AFA">
        <w:t xml:space="preserve"> </w:t>
      </w:r>
      <w:r w:rsidR="00376665">
        <w:t>has not signed:</w:t>
      </w:r>
    </w:p>
    <w:p w:rsidR="00150789" w:rsidRPr="00150789" w:rsidRDefault="00341378" w:rsidP="00150789">
      <w:pPr>
        <w:pStyle w:val="ListParagraph"/>
        <w:numPr>
          <w:ilvl w:val="0"/>
          <w:numId w:val="26"/>
        </w:numPr>
        <w:rPr>
          <w:b/>
          <w:sz w:val="28"/>
        </w:rPr>
      </w:pPr>
      <w:r w:rsidRPr="00150789">
        <w:rPr>
          <w:rFonts w:eastAsia="Times New Roman" w:cstheme="minorHAnsi"/>
        </w:rPr>
        <w:t>Convention Relating to the Status of Refugees</w:t>
      </w:r>
    </w:p>
    <w:p w:rsidR="00150789" w:rsidRPr="00150789" w:rsidRDefault="00150789" w:rsidP="00150789">
      <w:pPr>
        <w:pStyle w:val="ListParagraph"/>
        <w:numPr>
          <w:ilvl w:val="0"/>
          <w:numId w:val="26"/>
        </w:numPr>
        <w:rPr>
          <w:b/>
          <w:sz w:val="28"/>
        </w:rPr>
      </w:pPr>
      <w:r w:rsidRPr="00150789">
        <w:rPr>
          <w:rFonts w:eastAsia="Times New Roman" w:cstheme="minorHAnsi"/>
        </w:rPr>
        <w:t>International Convention on the Protection of the Rights of All Migrant Workers and Members of Their Families</w:t>
      </w:r>
    </w:p>
    <w:p w:rsidR="00825851" w:rsidRPr="00150789" w:rsidRDefault="00053462" w:rsidP="00150789">
      <w:pPr>
        <w:pStyle w:val="ListParagraph"/>
        <w:numPr>
          <w:ilvl w:val="0"/>
          <w:numId w:val="26"/>
        </w:numPr>
        <w:rPr>
          <w:b/>
          <w:sz w:val="28"/>
        </w:rPr>
      </w:pPr>
      <w:r w:rsidRPr="00150789">
        <w:rPr>
          <w:rFonts w:eastAsia="Times New Roman" w:cstheme="minorHAnsi"/>
        </w:rPr>
        <w:t>P</w:t>
      </w:r>
      <w:r w:rsidR="00341378" w:rsidRPr="00150789">
        <w:rPr>
          <w:rFonts w:eastAsia="Times New Roman" w:cstheme="minorHAnsi"/>
        </w:rPr>
        <w:t>rotocol Relating to the Status of Refugees</w:t>
      </w:r>
    </w:p>
    <w:p w:rsidR="002E7D99" w:rsidRDefault="002E7D99" w:rsidP="002250DD">
      <w:pPr>
        <w:rPr>
          <w:b/>
          <w:sz w:val="28"/>
        </w:rPr>
      </w:pPr>
      <w:r w:rsidRPr="00437199">
        <w:rPr>
          <w:b/>
          <w:sz w:val="28"/>
        </w:rPr>
        <w:lastRenderedPageBreak/>
        <w:t>UN</w:t>
      </w:r>
      <w:r w:rsidR="00846FCC">
        <w:rPr>
          <w:b/>
          <w:sz w:val="28"/>
        </w:rPr>
        <w:t xml:space="preserve"> </w:t>
      </w:r>
      <w:r w:rsidR="00437199" w:rsidRPr="00437199">
        <w:rPr>
          <w:b/>
          <w:sz w:val="28"/>
        </w:rPr>
        <w:t>Agencies</w:t>
      </w:r>
    </w:p>
    <w:p w:rsidR="00860FA2" w:rsidRPr="00437199" w:rsidRDefault="00860FA2" w:rsidP="002250DD">
      <w:pPr>
        <w:rPr>
          <w:b/>
          <w:sz w:val="28"/>
        </w:rPr>
      </w:pPr>
      <w:r>
        <w:rPr>
          <w:rFonts w:eastAsia="Times New Roman" w:cstheme="minorHAnsi"/>
          <w:color w:val="000000"/>
          <w:lang w:eastAsia="en-AU"/>
        </w:rPr>
        <w:t xml:space="preserve">UN review mechanisms have generally given positive feedback on the continual pursuit of improved </w:t>
      </w:r>
      <w:r w:rsidR="00D506E7">
        <w:rPr>
          <w:rFonts w:eastAsia="Times New Roman" w:cstheme="minorHAnsi"/>
          <w:color w:val="000000"/>
          <w:lang w:eastAsia="en-AU"/>
        </w:rPr>
        <w:t>standard of living, and the efforts to improve the conditions of persons with disabilities in this regard</w:t>
      </w:r>
      <w:r>
        <w:rPr>
          <w:rFonts w:eastAsia="Times New Roman" w:cstheme="minorHAnsi"/>
          <w:color w:val="000000"/>
          <w:lang w:eastAsia="en-AU"/>
        </w:rPr>
        <w:t>.</w:t>
      </w:r>
    </w:p>
    <w:p w:rsidR="00437199" w:rsidRPr="00437199" w:rsidRDefault="00846FCC" w:rsidP="002250DD">
      <w:r>
        <w:rPr>
          <w:rFonts w:cstheme="minorHAnsi"/>
          <w:b/>
          <w:i/>
        </w:rPr>
        <w:t xml:space="preserve">Universal Periodic Review (2009 and </w:t>
      </w:r>
      <w:r w:rsidR="00C56513">
        <w:rPr>
          <w:rFonts w:cstheme="minorHAnsi"/>
          <w:b/>
          <w:i/>
        </w:rPr>
        <w:t>2013</w:t>
      </w:r>
      <w:r w:rsidR="00437199" w:rsidRPr="00437199">
        <w:rPr>
          <w:rFonts w:cstheme="minorHAnsi"/>
          <w:b/>
          <w:i/>
        </w:rPr>
        <w:t>)</w:t>
      </w:r>
    </w:p>
    <w:p w:rsidR="00E93A9D" w:rsidRDefault="000B5A30" w:rsidP="00F56B24">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846FCC" w:rsidRDefault="00846FCC" w:rsidP="004C5E97">
      <w:pPr>
        <w:jc w:val="both"/>
        <w:rPr>
          <w:rFonts w:cstheme="minorHAnsi"/>
          <w:u w:val="single"/>
        </w:rPr>
      </w:pPr>
      <w:r w:rsidRPr="00846FCC">
        <w:rPr>
          <w:rFonts w:cstheme="minorHAnsi"/>
          <w:u w:val="single"/>
        </w:rPr>
        <w:t>First UPR</w:t>
      </w:r>
      <w:r w:rsidR="00970F85">
        <w:rPr>
          <w:rStyle w:val="FootnoteReference"/>
          <w:rFonts w:cstheme="minorHAnsi"/>
          <w:u w:val="single"/>
        </w:rPr>
        <w:footnoteReference w:id="5"/>
      </w:r>
    </w:p>
    <w:p w:rsidR="00970F85" w:rsidRDefault="00282C36" w:rsidP="004C5E97">
      <w:pPr>
        <w:jc w:val="both"/>
        <w:rPr>
          <w:rFonts w:cstheme="minorHAnsi"/>
        </w:rPr>
      </w:pPr>
      <w:r>
        <w:rPr>
          <w:rFonts w:cstheme="minorHAnsi"/>
        </w:rPr>
        <w:t xml:space="preserve">The Report noted that </w:t>
      </w:r>
      <w:r w:rsidRPr="00282C36">
        <w:rPr>
          <w:rFonts w:cstheme="minorHAnsi"/>
        </w:rPr>
        <w:t xml:space="preserve">Jordan is an Arab country which has attained excellent levels of sustainable development despite its lack of resources and economic burden and while hosting Iraqi refugees. </w:t>
      </w:r>
      <w:r>
        <w:rPr>
          <w:rFonts w:cstheme="minorHAnsi"/>
        </w:rPr>
        <w:t>It was also noted that t</w:t>
      </w:r>
      <w:r w:rsidRPr="00282C36">
        <w:rPr>
          <w:rFonts w:cstheme="minorHAnsi"/>
        </w:rPr>
        <w:t>he constitutional framework guarantees fundamental freedoms and there are numerous laws and institutions concerning health, housing, free basic education, empowerment of wom</w:t>
      </w:r>
      <w:r w:rsidR="00150789">
        <w:rPr>
          <w:rFonts w:cstheme="minorHAnsi"/>
        </w:rPr>
        <w:t>e</w:t>
      </w:r>
      <w:r w:rsidRPr="00282C36">
        <w:rPr>
          <w:rFonts w:cstheme="minorHAnsi"/>
        </w:rPr>
        <w:t>n and childcare.</w:t>
      </w:r>
    </w:p>
    <w:p w:rsidR="00776792" w:rsidRDefault="00776792" w:rsidP="00776792">
      <w:pPr>
        <w:jc w:val="both"/>
        <w:rPr>
          <w:rFonts w:cstheme="minorHAnsi"/>
        </w:rPr>
      </w:pPr>
      <w:r>
        <w:rPr>
          <w:rFonts w:cstheme="minorHAnsi"/>
        </w:rPr>
        <w:t>‘Recommendation 31: C</w:t>
      </w:r>
      <w:r w:rsidR="00282C36" w:rsidRPr="00282C36">
        <w:rPr>
          <w:rFonts w:cstheme="minorHAnsi"/>
        </w:rPr>
        <w:t>ontinue its efforts to provide better living standards and share its experience of a developed health care with other countries, particularly within the region.</w:t>
      </w:r>
      <w:r>
        <w:rPr>
          <w:rFonts w:cstheme="minorHAnsi"/>
        </w:rPr>
        <w:t xml:space="preserve">’ </w:t>
      </w:r>
      <w:r w:rsidRPr="00282C36">
        <w:rPr>
          <w:rFonts w:cstheme="minorHAnsi"/>
        </w:rPr>
        <w:t xml:space="preserve"> </w:t>
      </w:r>
    </w:p>
    <w:p w:rsidR="00776792" w:rsidRDefault="00776792" w:rsidP="00776792">
      <w:pPr>
        <w:jc w:val="both"/>
        <w:rPr>
          <w:rFonts w:cstheme="minorHAnsi"/>
        </w:rPr>
      </w:pPr>
      <w:r>
        <w:rPr>
          <w:rFonts w:cstheme="minorHAnsi"/>
        </w:rPr>
        <w:t>‘Recommendation 32: P</w:t>
      </w:r>
      <w:r w:rsidRPr="00282C36">
        <w:rPr>
          <w:rFonts w:cstheme="minorHAnsi"/>
        </w:rPr>
        <w:t>ursue its efforts aimed at improving the living conditions of persons with disabilities</w:t>
      </w:r>
      <w:r>
        <w:rPr>
          <w:rFonts w:cstheme="minorHAnsi"/>
        </w:rPr>
        <w:t xml:space="preserve">.’  </w:t>
      </w:r>
    </w:p>
    <w:p w:rsidR="00846FCC" w:rsidRDefault="00846FCC" w:rsidP="00D947DA">
      <w:pPr>
        <w:jc w:val="both"/>
        <w:rPr>
          <w:rFonts w:cstheme="minorHAnsi"/>
          <w:u w:val="single"/>
          <w:lang w:val="en-GB"/>
        </w:rPr>
      </w:pPr>
      <w:r w:rsidRPr="00846FCC">
        <w:rPr>
          <w:rFonts w:cstheme="minorHAnsi"/>
          <w:u w:val="single"/>
          <w:lang w:val="en-GB"/>
        </w:rPr>
        <w:t>Second UPR</w:t>
      </w:r>
      <w:r w:rsidR="00282C36">
        <w:rPr>
          <w:rStyle w:val="FootnoteReference"/>
          <w:rFonts w:cstheme="minorHAnsi"/>
          <w:u w:val="single"/>
          <w:lang w:val="en-GB"/>
        </w:rPr>
        <w:footnoteReference w:id="6"/>
      </w:r>
    </w:p>
    <w:p w:rsidR="00846FCC" w:rsidRDefault="00282C36" w:rsidP="00D947DA">
      <w:pPr>
        <w:jc w:val="both"/>
        <w:rPr>
          <w:rFonts w:cstheme="minorHAnsi"/>
        </w:rPr>
      </w:pPr>
      <w:r>
        <w:rPr>
          <w:rFonts w:cstheme="minorHAnsi"/>
          <w:lang w:val="en-GB"/>
        </w:rPr>
        <w:t>The Report noted that</w:t>
      </w:r>
      <w:r w:rsidRPr="00282C36">
        <w:rPr>
          <w:rFonts w:cstheme="minorHAnsi"/>
        </w:rPr>
        <w:t xml:space="preserve"> in order to continue efforts to improve the living conditions of persons with disabilities, Jordan had taken many steps aimed at achieving this goal, including supporting their right to live independently, integration in the community and self-reliance.</w:t>
      </w:r>
    </w:p>
    <w:p w:rsidR="00282C36" w:rsidRDefault="00282C36" w:rsidP="00D947DA">
      <w:pPr>
        <w:jc w:val="both"/>
        <w:rPr>
          <w:rFonts w:cstheme="minorHAnsi"/>
        </w:rPr>
      </w:pPr>
      <w:r>
        <w:rPr>
          <w:rFonts w:cstheme="minorHAnsi"/>
        </w:rPr>
        <w:t xml:space="preserve">‘Recommendation </w:t>
      </w:r>
      <w:r w:rsidRPr="00282C36">
        <w:rPr>
          <w:rFonts w:cstheme="minorHAnsi"/>
        </w:rPr>
        <w:t>118.1</w:t>
      </w:r>
      <w:r>
        <w:rPr>
          <w:rFonts w:cstheme="minorHAnsi"/>
        </w:rPr>
        <w:t>01:</w:t>
      </w:r>
      <w:r w:rsidRPr="00282C36">
        <w:rPr>
          <w:rFonts w:cstheme="minorHAnsi"/>
        </w:rPr>
        <w:t xml:space="preserve"> Continue the efforts to promote and protect the right to health and the right to education for its people in order to further improve the standard of living for all</w:t>
      </w:r>
      <w:r>
        <w:rPr>
          <w:rFonts w:cstheme="minorHAnsi"/>
        </w:rPr>
        <w:t>.’</w:t>
      </w:r>
    </w:p>
    <w:p w:rsidR="00282C36" w:rsidRDefault="00282C36" w:rsidP="00D947DA">
      <w:pPr>
        <w:jc w:val="both"/>
        <w:rPr>
          <w:rFonts w:cstheme="minorHAnsi"/>
        </w:rPr>
      </w:pPr>
      <w:r>
        <w:rPr>
          <w:rFonts w:cstheme="minorHAnsi"/>
        </w:rPr>
        <w:t xml:space="preserve">‘Recommendation </w:t>
      </w:r>
      <w:r w:rsidRPr="00282C36">
        <w:rPr>
          <w:rFonts w:cstheme="minorHAnsi"/>
        </w:rPr>
        <w:t>118.112</w:t>
      </w:r>
      <w:r>
        <w:rPr>
          <w:rFonts w:cstheme="minorHAnsi"/>
        </w:rPr>
        <w:t xml:space="preserve">: </w:t>
      </w:r>
      <w:r w:rsidRPr="00282C36">
        <w:rPr>
          <w:rFonts w:cstheme="minorHAnsi"/>
        </w:rPr>
        <w:t>Continue with efforts to raise the living standards of persons with disabilities</w:t>
      </w:r>
      <w:r>
        <w:rPr>
          <w:rFonts w:cstheme="minorHAnsi"/>
        </w:rPr>
        <w:t>.’</w:t>
      </w:r>
    </w:p>
    <w:p w:rsidR="00282C36" w:rsidRDefault="00282C36" w:rsidP="00D947DA">
      <w:pPr>
        <w:jc w:val="both"/>
        <w:rPr>
          <w:rFonts w:cstheme="minorHAnsi"/>
        </w:rPr>
      </w:pPr>
      <w:r>
        <w:rPr>
          <w:rFonts w:cstheme="minorHAnsi"/>
        </w:rPr>
        <w:lastRenderedPageBreak/>
        <w:t>‘Recommendation 118.113:</w:t>
      </w:r>
      <w:r w:rsidRPr="00282C36">
        <w:rPr>
          <w:rFonts w:cstheme="minorHAnsi"/>
        </w:rPr>
        <w:t xml:space="preserve"> Further intensify its efforts to raise the living standards of persons with disabilities, in particular to support their right to social inclusion and self</w:t>
      </w:r>
      <w:r>
        <w:rPr>
          <w:rFonts w:cstheme="minorHAnsi"/>
        </w:rPr>
        <w:t>-</w:t>
      </w:r>
      <w:r w:rsidRPr="00282C36">
        <w:rPr>
          <w:rFonts w:cstheme="minorHAnsi"/>
        </w:rPr>
        <w:t>reliance</w:t>
      </w:r>
      <w:r>
        <w:rPr>
          <w:rFonts w:cstheme="minorHAnsi"/>
        </w:rPr>
        <w:t>.’</w:t>
      </w:r>
    </w:p>
    <w:p w:rsidR="00282C36" w:rsidRPr="00282C36" w:rsidRDefault="00282C36" w:rsidP="00D947DA">
      <w:pPr>
        <w:jc w:val="both"/>
        <w:rPr>
          <w:rFonts w:cstheme="minorHAnsi"/>
          <w:lang w:val="en-GB"/>
        </w:rPr>
      </w:pPr>
      <w:r w:rsidRPr="00282C36">
        <w:rPr>
          <w:rFonts w:cstheme="minorHAnsi"/>
          <w:lang w:val="en-GB"/>
        </w:rPr>
        <w:t>‘</w:t>
      </w:r>
      <w:r>
        <w:rPr>
          <w:rFonts w:cstheme="minorHAnsi"/>
          <w:lang w:val="en-GB"/>
        </w:rPr>
        <w:t xml:space="preserve">Recommendation </w:t>
      </w:r>
      <w:r>
        <w:rPr>
          <w:rFonts w:cstheme="minorHAnsi"/>
        </w:rPr>
        <w:t>118.115:</w:t>
      </w:r>
      <w:r w:rsidRPr="00282C36">
        <w:rPr>
          <w:rFonts w:cstheme="minorHAnsi"/>
        </w:rPr>
        <w:t xml:space="preserve"> Continue its successful efforts to improve the living conditions of persons with disabilities.’</w:t>
      </w:r>
    </w:p>
    <w:p w:rsidR="00CE3053" w:rsidRDefault="00437199" w:rsidP="00825851">
      <w:pPr>
        <w:rPr>
          <w:rFonts w:cstheme="minorHAnsi"/>
          <w:b/>
          <w:bCs/>
          <w:i/>
        </w:rPr>
      </w:pPr>
      <w:r w:rsidRPr="00437199">
        <w:rPr>
          <w:rFonts w:cstheme="minorHAnsi"/>
          <w:b/>
          <w:bCs/>
          <w:i/>
        </w:rPr>
        <w:t>Report of the United Nations High Co</w:t>
      </w:r>
      <w:r w:rsidR="00C56513">
        <w:rPr>
          <w:rFonts w:cstheme="minorHAnsi"/>
          <w:b/>
          <w:bCs/>
          <w:i/>
        </w:rPr>
        <w:t>mmissioner for Human Rights (2009 and 2013</w:t>
      </w:r>
      <w:r w:rsidRPr="00437199">
        <w:rPr>
          <w:rFonts w:cstheme="minorHAnsi"/>
          <w:b/>
          <w:bCs/>
          <w:i/>
        </w:rPr>
        <w:t>)</w:t>
      </w:r>
      <w:r w:rsidR="00DB6310">
        <w:rPr>
          <w:rStyle w:val="FootnoteReference"/>
          <w:rFonts w:cstheme="minorHAnsi"/>
          <w:b/>
          <w:bCs/>
          <w:i/>
        </w:rPr>
        <w:footnoteReference w:id="7"/>
      </w:r>
    </w:p>
    <w:p w:rsidR="00825851" w:rsidRDefault="00CE3053" w:rsidP="00825851">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4C5E97" w:rsidRDefault="00282C36" w:rsidP="00776792">
      <w:pPr>
        <w:jc w:val="both"/>
        <w:rPr>
          <w:rFonts w:cstheme="minorHAnsi"/>
          <w:bCs/>
        </w:rPr>
      </w:pPr>
      <w:r w:rsidRPr="00282C36">
        <w:rPr>
          <w:rFonts w:cstheme="minorHAnsi"/>
          <w:bCs/>
        </w:rPr>
        <w:t xml:space="preserve">In the 2009 </w:t>
      </w:r>
      <w:r w:rsidR="00150789">
        <w:rPr>
          <w:rFonts w:cstheme="minorHAnsi"/>
          <w:bCs/>
        </w:rPr>
        <w:t>report, there was concern abou</w:t>
      </w:r>
      <w:r w:rsidRPr="00282C36">
        <w:rPr>
          <w:rFonts w:cstheme="minorHAnsi"/>
          <w:bCs/>
        </w:rPr>
        <w:t xml:space="preserve">t the very low standard of living of many children, especially in the governorates of </w:t>
      </w:r>
      <w:proofErr w:type="spellStart"/>
      <w:r w:rsidRPr="00282C36">
        <w:rPr>
          <w:rFonts w:cstheme="minorHAnsi"/>
          <w:bCs/>
        </w:rPr>
        <w:t>Mafraq</w:t>
      </w:r>
      <w:proofErr w:type="spellEnd"/>
      <w:r w:rsidRPr="00282C36">
        <w:rPr>
          <w:rFonts w:cstheme="minorHAnsi"/>
          <w:bCs/>
        </w:rPr>
        <w:t xml:space="preserve"> and </w:t>
      </w:r>
      <w:proofErr w:type="spellStart"/>
      <w:r w:rsidRPr="00282C36">
        <w:rPr>
          <w:rFonts w:cstheme="minorHAnsi"/>
          <w:bCs/>
        </w:rPr>
        <w:t>Zarqa</w:t>
      </w:r>
      <w:proofErr w:type="spellEnd"/>
      <w:r w:rsidRPr="00282C36">
        <w:rPr>
          <w:rFonts w:cstheme="minorHAnsi"/>
          <w:bCs/>
        </w:rPr>
        <w:t>, north-east of Amman, some districts within the capital and certain municipalities along the Jordan Valley.</w:t>
      </w:r>
    </w:p>
    <w:p w:rsidR="00776792" w:rsidRPr="00282C36" w:rsidRDefault="00D506E7" w:rsidP="00776792">
      <w:pPr>
        <w:jc w:val="both"/>
        <w:rPr>
          <w:rFonts w:cstheme="minorHAnsi"/>
          <w:bCs/>
        </w:rPr>
      </w:pPr>
      <w:r>
        <w:rPr>
          <w:rFonts w:cstheme="minorHAnsi"/>
          <w:bCs/>
        </w:rPr>
        <w:t>T</w:t>
      </w:r>
      <w:r w:rsidR="00776792">
        <w:rPr>
          <w:rFonts w:cstheme="minorHAnsi"/>
          <w:bCs/>
        </w:rPr>
        <w:t xml:space="preserve">he 2013 report did not mention anything on the right to adequate housing. </w:t>
      </w:r>
    </w:p>
    <w:p w:rsidR="00437199" w:rsidRPr="00524177" w:rsidRDefault="00437199" w:rsidP="00825851">
      <w:pPr>
        <w:jc w:val="both"/>
        <w:rPr>
          <w:rFonts w:cstheme="minorHAnsi"/>
        </w:rPr>
      </w:pPr>
      <w:r w:rsidRPr="00437199">
        <w:rPr>
          <w:rFonts w:cstheme="minorHAnsi"/>
          <w:b/>
          <w:bCs/>
          <w:i/>
        </w:rPr>
        <w:t>Committee on Economic, Social and Cultural Rights</w:t>
      </w:r>
      <w:r w:rsidR="003A7C10">
        <w:rPr>
          <w:rFonts w:cstheme="minorHAnsi"/>
          <w:b/>
          <w:bCs/>
          <w:i/>
        </w:rPr>
        <w:t xml:space="preserve"> (2000)</w:t>
      </w:r>
      <w:r w:rsidR="00BF207E">
        <w:rPr>
          <w:rStyle w:val="FootnoteReference"/>
          <w:rFonts w:cstheme="minorHAnsi"/>
          <w:b/>
          <w:bCs/>
          <w:i/>
        </w:rPr>
        <w:footnoteReference w:id="8"/>
      </w:r>
    </w:p>
    <w:p w:rsidR="00CE3053" w:rsidRPr="00CE3053" w:rsidRDefault="00CE3053" w:rsidP="00825851">
      <w:pPr>
        <w:jc w:val="both"/>
        <w:rPr>
          <w:rFonts w:cstheme="minorHAnsi"/>
          <w:bCs/>
        </w:rPr>
      </w:pPr>
      <w:r>
        <w:rPr>
          <w:rFonts w:cstheme="minorHAnsi"/>
          <w:bCs/>
          <w:i/>
        </w:rPr>
        <w:t>The Committee specifically reviews states that have ratified the ICESCR on their compliance with the rights enshrined in it, including the Right to Adequate Housing.</w:t>
      </w:r>
    </w:p>
    <w:p w:rsidR="00437199" w:rsidRDefault="00776792" w:rsidP="00825851">
      <w:pPr>
        <w:jc w:val="both"/>
        <w:rPr>
          <w:rFonts w:cstheme="minorHAnsi"/>
        </w:rPr>
      </w:pPr>
      <w:r>
        <w:rPr>
          <w:rFonts w:cstheme="minorHAnsi"/>
        </w:rPr>
        <w:t>In accordance with A</w:t>
      </w:r>
      <w:r w:rsidR="003A7C10" w:rsidRPr="003A7C10">
        <w:rPr>
          <w:rFonts w:cstheme="minorHAnsi"/>
        </w:rPr>
        <w:t>rticle 11 of the Covenant, the Committee encourage</w:t>
      </w:r>
      <w:r w:rsidR="003A7C10">
        <w:rPr>
          <w:rFonts w:cstheme="minorHAnsi"/>
        </w:rPr>
        <w:t>d</w:t>
      </w:r>
      <w:r w:rsidR="003A7C10" w:rsidRPr="003A7C10">
        <w:rPr>
          <w:rFonts w:cstheme="minorHAnsi"/>
        </w:rPr>
        <w:t xml:space="preserve"> </w:t>
      </w:r>
      <w:r>
        <w:rPr>
          <w:rFonts w:cstheme="minorHAnsi"/>
        </w:rPr>
        <w:t xml:space="preserve">Jordan </w:t>
      </w:r>
      <w:r w:rsidR="003A7C10" w:rsidRPr="003A7C10">
        <w:rPr>
          <w:rFonts w:cstheme="minorHAnsi"/>
        </w:rPr>
        <w:t>to prevent any occurrence of forced ev</w:t>
      </w:r>
      <w:r w:rsidR="003A7C10">
        <w:rPr>
          <w:rFonts w:cstheme="minorHAnsi"/>
        </w:rPr>
        <w:t>iction</w:t>
      </w:r>
      <w:r w:rsidR="00C96372">
        <w:rPr>
          <w:rFonts w:cstheme="minorHAnsi"/>
        </w:rPr>
        <w:t>s</w:t>
      </w:r>
      <w:r w:rsidR="003A7C10">
        <w:rPr>
          <w:rFonts w:cstheme="minorHAnsi"/>
        </w:rPr>
        <w:t>. The Committee recommended</w:t>
      </w:r>
      <w:r w:rsidR="003A7C10" w:rsidRPr="003A7C10">
        <w:rPr>
          <w:rFonts w:cstheme="minorHAnsi"/>
        </w:rPr>
        <w:t xml:space="preserve"> that resettlement procedures and programmes include registration, facilitate comprehensive family rehabilitation and ensure access to basic se</w:t>
      </w:r>
      <w:r w:rsidR="003A7C10">
        <w:rPr>
          <w:rFonts w:cstheme="minorHAnsi"/>
        </w:rPr>
        <w:t>rvices. The Committee recommended</w:t>
      </w:r>
      <w:r w:rsidR="003A7C10" w:rsidRPr="003A7C10">
        <w:rPr>
          <w:rFonts w:cstheme="minorHAnsi"/>
        </w:rPr>
        <w:t xml:space="preserve"> that </w:t>
      </w:r>
      <w:r>
        <w:rPr>
          <w:rFonts w:cstheme="minorHAnsi"/>
        </w:rPr>
        <w:t xml:space="preserve">Jordan </w:t>
      </w:r>
      <w:r w:rsidR="003A7C10" w:rsidRPr="003A7C10">
        <w:rPr>
          <w:rFonts w:cstheme="minorHAnsi"/>
        </w:rPr>
        <w:t>take due regard of the Committee’s General Comments 7 and 4, concerning forced evictions and the right to housing.</w:t>
      </w:r>
      <w:r w:rsidR="003A7C10">
        <w:rPr>
          <w:rFonts w:cstheme="minorHAnsi"/>
        </w:rPr>
        <w:t xml:space="preserve"> </w:t>
      </w:r>
    </w:p>
    <w:p w:rsidR="00825851" w:rsidRDefault="007464A5" w:rsidP="00F56B24">
      <w:pPr>
        <w:jc w:val="both"/>
        <w:rPr>
          <w:b/>
          <w:i/>
        </w:rPr>
      </w:pPr>
      <w:r w:rsidRPr="007464A5">
        <w:rPr>
          <w:b/>
          <w:i/>
        </w:rPr>
        <w:t>United Nations Country Team (UNCT)</w:t>
      </w:r>
      <w:r w:rsidR="00BF207E">
        <w:rPr>
          <w:rStyle w:val="FootnoteReference"/>
          <w:b/>
          <w:i/>
        </w:rPr>
        <w:footnoteReference w:id="9"/>
      </w:r>
    </w:p>
    <w:p w:rsidR="005742B8" w:rsidRDefault="000B5A30" w:rsidP="00D80D56">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r w:rsidR="00D80D56">
        <w:rPr>
          <w:i/>
        </w:rPr>
        <w:t xml:space="preserve"> </w:t>
      </w:r>
    </w:p>
    <w:p w:rsidR="007A1DD8" w:rsidRPr="007A1DD8" w:rsidRDefault="00D506E7" w:rsidP="00D80D56">
      <w:pPr>
        <w:jc w:val="both"/>
      </w:pPr>
      <w:r>
        <w:t>N</w:t>
      </w:r>
      <w:r w:rsidR="007A1DD8" w:rsidRPr="007A1DD8">
        <w:t xml:space="preserve">o relevant information on the right to adequate housing could be sourced. </w:t>
      </w:r>
    </w:p>
    <w:p w:rsidR="007464A5" w:rsidRPr="007464A5" w:rsidRDefault="007464A5" w:rsidP="002250DD">
      <w:pPr>
        <w:rPr>
          <w:rFonts w:cstheme="minorHAnsi"/>
          <w:b/>
          <w:i/>
        </w:rPr>
      </w:pPr>
      <w:r w:rsidRPr="007464A5">
        <w:rPr>
          <w:rFonts w:cstheme="minorHAnsi"/>
          <w:b/>
          <w:i/>
        </w:rPr>
        <w:t>United Nations Development Assistance Framework (UNDAF)</w:t>
      </w:r>
      <w:r w:rsidR="00BF207E">
        <w:rPr>
          <w:rStyle w:val="FootnoteReference"/>
          <w:rFonts w:cstheme="minorHAnsi"/>
          <w:b/>
          <w:i/>
        </w:rPr>
        <w:footnoteReference w:id="10"/>
      </w:r>
    </w:p>
    <w:p w:rsidR="00EA4EBB" w:rsidRDefault="000B5A30" w:rsidP="00F56B24">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The UNDAF forms the overall framework for the UNCT’s work between 201</w:t>
      </w:r>
      <w:r w:rsidR="005A6182">
        <w:rPr>
          <w:i/>
        </w:rPr>
        <w:t>3</w:t>
      </w:r>
      <w:r w:rsidR="007464A5" w:rsidRPr="000B5A30">
        <w:rPr>
          <w:i/>
        </w:rPr>
        <w:t xml:space="preserve"> and 201</w:t>
      </w:r>
      <w:r w:rsidR="005A6182">
        <w:rPr>
          <w:i/>
        </w:rPr>
        <w:t>7</w:t>
      </w:r>
      <w:r w:rsidR="007464A5" w:rsidRPr="000B5A30">
        <w:rPr>
          <w:i/>
        </w:rPr>
        <w:t>.</w:t>
      </w:r>
    </w:p>
    <w:p w:rsidR="005A6182" w:rsidRPr="005A6182" w:rsidRDefault="0093561F" w:rsidP="0093561F">
      <w:pPr>
        <w:jc w:val="both"/>
        <w:rPr>
          <w:b/>
          <w:sz w:val="28"/>
        </w:rPr>
      </w:pPr>
      <w:r>
        <w:lastRenderedPageBreak/>
        <w:t xml:space="preserve">According to the Jordan UNDAF, a plan will be prepared to restructure the Housing and Urban Development Corporation with a view to enhancing its capacity to provide affordable housing solutions. South-South cooperation will be central to the training of urban planners, with a special focus on retrofitting disaster risk reduction components into urban planning both at national and local level. </w:t>
      </w:r>
      <w:r>
        <w:rPr>
          <w:b/>
          <w:sz w:val="28"/>
        </w:rPr>
        <w:t xml:space="preserve"> </w:t>
      </w:r>
    </w:p>
    <w:p w:rsidR="007A1DD8" w:rsidRDefault="007A1DD8" w:rsidP="002250DD">
      <w:pPr>
        <w:rPr>
          <w:b/>
          <w:sz w:val="28"/>
        </w:rPr>
      </w:pPr>
    </w:p>
    <w:p w:rsidR="001158E4" w:rsidRDefault="001158E4" w:rsidP="002250DD">
      <w:pPr>
        <w:rPr>
          <w:b/>
          <w:sz w:val="28"/>
        </w:rPr>
      </w:pPr>
      <w:r w:rsidRPr="001B7B83">
        <w:rPr>
          <w:b/>
          <w:sz w:val="28"/>
        </w:rPr>
        <w:t>UN-Habitat</w:t>
      </w:r>
      <w:r w:rsidR="00B33886">
        <w:rPr>
          <w:rStyle w:val="FootnoteReference"/>
          <w:b/>
          <w:sz w:val="28"/>
        </w:rPr>
        <w:footnoteReference w:id="11"/>
      </w:r>
    </w:p>
    <w:p w:rsidR="00860FA2" w:rsidRPr="00860FA2" w:rsidRDefault="00860FA2" w:rsidP="00F56B24">
      <w:pPr>
        <w:jc w:val="both"/>
        <w:rPr>
          <w:rFonts w:eastAsia="Times New Roman" w:cstheme="minorHAnsi"/>
          <w:color w:val="000000"/>
          <w:lang w:eastAsia="en-AU"/>
        </w:rPr>
      </w:pPr>
      <w:r>
        <w:rPr>
          <w:rFonts w:eastAsia="Times New Roman" w:cstheme="minorHAnsi"/>
          <w:color w:val="000000"/>
          <w:lang w:eastAsia="en-AU"/>
        </w:rPr>
        <w:t xml:space="preserve">UN-Habitat has worked on a number of projects in </w:t>
      </w:r>
      <w:r w:rsidR="00C35FB5">
        <w:rPr>
          <w:rFonts w:eastAsia="Times New Roman" w:cstheme="minorHAnsi"/>
          <w:color w:val="000000"/>
          <w:lang w:eastAsia="en-AU"/>
        </w:rPr>
        <w:t>Jordan</w:t>
      </w:r>
      <w:r>
        <w:rPr>
          <w:rFonts w:eastAsia="Times New Roman" w:cstheme="minorHAnsi"/>
          <w:color w:val="000000"/>
          <w:lang w:eastAsia="en-AU"/>
        </w:rPr>
        <w:t xml:space="preserve">. </w:t>
      </w:r>
    </w:p>
    <w:p w:rsidR="00C35FB5" w:rsidRPr="00C35FB5" w:rsidRDefault="00C35FB5" w:rsidP="00C35FB5">
      <w:pPr>
        <w:numPr>
          <w:ilvl w:val="0"/>
          <w:numId w:val="23"/>
        </w:numPr>
        <w:spacing w:before="100" w:beforeAutospacing="1" w:after="100" w:afterAutospacing="1"/>
        <w:jc w:val="both"/>
        <w:rPr>
          <w:rFonts w:eastAsia="Times New Roman" w:cstheme="minorHAnsi"/>
          <w:szCs w:val="24"/>
          <w:lang w:val="en-US" w:eastAsia="en-AU"/>
        </w:rPr>
      </w:pPr>
      <w:r w:rsidRPr="00C35FB5">
        <w:rPr>
          <w:rFonts w:eastAsia="Times New Roman" w:cstheme="minorHAnsi"/>
          <w:szCs w:val="24"/>
          <w:lang w:val="en-US" w:eastAsia="en-AU"/>
        </w:rPr>
        <w:t>Total value of UN-Habitat investments (2008-2013): US$ 453,938</w:t>
      </w:r>
    </w:p>
    <w:p w:rsidR="00C35FB5" w:rsidRPr="00C35FB5" w:rsidRDefault="00C35FB5" w:rsidP="00C35FB5">
      <w:pPr>
        <w:numPr>
          <w:ilvl w:val="0"/>
          <w:numId w:val="23"/>
        </w:numPr>
        <w:spacing w:before="100" w:beforeAutospacing="1" w:after="100" w:afterAutospacing="1"/>
        <w:jc w:val="both"/>
        <w:rPr>
          <w:rFonts w:eastAsia="Times New Roman" w:cstheme="minorHAnsi"/>
          <w:szCs w:val="24"/>
          <w:lang w:val="en-US" w:eastAsia="en-AU"/>
        </w:rPr>
      </w:pPr>
      <w:r w:rsidRPr="00C35FB5">
        <w:rPr>
          <w:rFonts w:eastAsia="Times New Roman" w:cstheme="minorHAnsi"/>
          <w:szCs w:val="24"/>
          <w:lang w:val="en-US" w:eastAsia="en-AU"/>
        </w:rPr>
        <w:t>Total number of UN-Habitat projects (2008-2013): 2 projects</w:t>
      </w:r>
    </w:p>
    <w:p w:rsidR="00C35FB5" w:rsidRPr="00C35FB5" w:rsidRDefault="00C35FB5" w:rsidP="00C35FB5">
      <w:pPr>
        <w:numPr>
          <w:ilvl w:val="0"/>
          <w:numId w:val="23"/>
        </w:numPr>
        <w:spacing w:before="100" w:beforeAutospacing="1" w:after="100" w:afterAutospacing="1"/>
        <w:jc w:val="both"/>
        <w:rPr>
          <w:rFonts w:eastAsia="Times New Roman" w:cstheme="minorHAnsi"/>
          <w:szCs w:val="24"/>
          <w:lang w:val="en-US" w:eastAsia="en-AU"/>
        </w:rPr>
      </w:pPr>
      <w:r w:rsidRPr="00C35FB5">
        <w:rPr>
          <w:rFonts w:eastAsia="Times New Roman" w:cstheme="minorHAnsi"/>
          <w:szCs w:val="24"/>
          <w:lang w:val="en-US" w:eastAsia="en-AU"/>
        </w:rPr>
        <w:t>Main donors: Government of Jordan</w:t>
      </w:r>
    </w:p>
    <w:p w:rsidR="00C35FB5" w:rsidRPr="00C35FB5" w:rsidRDefault="00C35FB5" w:rsidP="00C35FB5">
      <w:pPr>
        <w:spacing w:before="100" w:beforeAutospacing="1" w:after="100" w:afterAutospacing="1"/>
        <w:rPr>
          <w:b/>
          <w:bCs/>
          <w:lang w:val="en-US"/>
        </w:rPr>
      </w:pPr>
      <w:r w:rsidRPr="00C35FB5">
        <w:rPr>
          <w:b/>
          <w:bCs/>
          <w:lang w:val="en-US"/>
        </w:rPr>
        <w:t xml:space="preserve"> UN-Habitat projects in Jordan</w:t>
      </w:r>
    </w:p>
    <w:p w:rsidR="00C35FB5" w:rsidRPr="00C35FB5" w:rsidRDefault="00C35FB5" w:rsidP="00C35FB5">
      <w:pPr>
        <w:jc w:val="both"/>
        <w:rPr>
          <w:u w:val="single"/>
          <w:lang w:val="en-US"/>
        </w:rPr>
      </w:pPr>
      <w:r w:rsidRPr="00C35FB5">
        <w:rPr>
          <w:bCs/>
          <w:u w:val="single"/>
          <w:lang w:val="en-US"/>
        </w:rPr>
        <w:t>Mainstreaming biodiversity conservation into the tourism sector in Jordan</w:t>
      </w:r>
    </w:p>
    <w:p w:rsidR="00C35FB5" w:rsidRPr="00C35FB5" w:rsidRDefault="00C35FB5" w:rsidP="00C35FB5">
      <w:pPr>
        <w:jc w:val="both"/>
        <w:rPr>
          <w:lang w:val="en-US"/>
        </w:rPr>
      </w:pPr>
      <w:r w:rsidRPr="00C35FB5">
        <w:rPr>
          <w:lang w:val="en-US"/>
        </w:rPr>
        <w:t xml:space="preserve">UN-Habitat Amman Office will start working with the United Nations Development Programme (UNDP) on mainstreaming biodiversity conservation into the tourism sector in Jordan, to reduce impact of tourism on Bio-diversity. This initiative will be implemented in three localities, namely </w:t>
      </w:r>
      <w:proofErr w:type="spellStart"/>
      <w:r w:rsidRPr="00C35FB5">
        <w:rPr>
          <w:lang w:val="en-US"/>
        </w:rPr>
        <w:t>Jerash</w:t>
      </w:r>
      <w:proofErr w:type="spellEnd"/>
      <w:r w:rsidRPr="00C35FB5">
        <w:rPr>
          <w:lang w:val="en-US"/>
        </w:rPr>
        <w:t xml:space="preserve">, Petra, </w:t>
      </w:r>
      <w:proofErr w:type="spellStart"/>
      <w:r w:rsidRPr="00C35FB5">
        <w:rPr>
          <w:lang w:val="en-US"/>
        </w:rPr>
        <w:t>Shoubak</w:t>
      </w:r>
      <w:proofErr w:type="spellEnd"/>
      <w:r w:rsidRPr="00C35FB5">
        <w:rPr>
          <w:lang w:val="en-US"/>
        </w:rPr>
        <w:t xml:space="preserve"> and </w:t>
      </w:r>
      <w:proofErr w:type="spellStart"/>
      <w:r w:rsidRPr="00C35FB5">
        <w:rPr>
          <w:lang w:val="en-US"/>
        </w:rPr>
        <w:t>Wadi</w:t>
      </w:r>
      <w:proofErr w:type="spellEnd"/>
      <w:r w:rsidRPr="00C35FB5">
        <w:rPr>
          <w:lang w:val="en-US"/>
        </w:rPr>
        <w:t xml:space="preserve"> Musa.</w:t>
      </w:r>
    </w:p>
    <w:p w:rsidR="00C35FB5" w:rsidRPr="00C35FB5" w:rsidRDefault="00C35FB5" w:rsidP="00C35FB5">
      <w:pPr>
        <w:jc w:val="both"/>
        <w:rPr>
          <w:u w:val="single"/>
          <w:lang w:val="en-US"/>
        </w:rPr>
      </w:pPr>
      <w:r w:rsidRPr="00C35FB5">
        <w:rPr>
          <w:bCs/>
          <w:u w:val="single"/>
          <w:lang w:val="en-US"/>
        </w:rPr>
        <w:t>Jordan Affordable Housing Programme</w:t>
      </w:r>
    </w:p>
    <w:p w:rsidR="00C35FB5" w:rsidRPr="00C35FB5" w:rsidRDefault="00C35FB5" w:rsidP="00C35FB5">
      <w:pPr>
        <w:jc w:val="both"/>
        <w:rPr>
          <w:lang w:val="en-US"/>
        </w:rPr>
      </w:pPr>
      <w:r w:rsidRPr="00C35FB5">
        <w:rPr>
          <w:lang w:val="en-US"/>
        </w:rPr>
        <w:t xml:space="preserve">Jordan Affordable Housing Program has been launched in response to the housing situation in Jordan, where Housing supply has not been well aligned with demand, with an oversupply at the upper middle and high end of the market. The price range of new housing units has been between JD 30,000 and JD 60,000 – with a median price of JD 45,000 – making them unaffordable to low- and lower-middle income groups. As a result, many young Jordanians have been unable to access housing or start their own families, leading to overcrowding and pent-up demand. Despite being in short supply, rental housing has been the main source of affordable housing for low-income and </w:t>
      </w:r>
      <w:r w:rsidR="00150789" w:rsidRPr="00C35FB5">
        <w:rPr>
          <w:lang w:val="en-US"/>
        </w:rPr>
        <w:t xml:space="preserve">families </w:t>
      </w:r>
      <w:r w:rsidR="00150789">
        <w:rPr>
          <w:lang w:val="en-US"/>
        </w:rPr>
        <w:t xml:space="preserve">in situations of </w:t>
      </w:r>
      <w:r w:rsidRPr="00C35FB5">
        <w:rPr>
          <w:lang w:val="en-US"/>
        </w:rPr>
        <w:t>vulnerab</w:t>
      </w:r>
      <w:r w:rsidR="00150789">
        <w:rPr>
          <w:lang w:val="en-US"/>
        </w:rPr>
        <w:t>ility</w:t>
      </w:r>
      <w:r w:rsidRPr="00C35FB5">
        <w:rPr>
          <w:lang w:val="en-US"/>
        </w:rPr>
        <w:t xml:space="preserve"> in Jordan.</w:t>
      </w:r>
    </w:p>
    <w:p w:rsidR="003C6190" w:rsidRPr="00C35FB5" w:rsidRDefault="003C6190" w:rsidP="00B915D8">
      <w:pPr>
        <w:pStyle w:val="ListParagraph"/>
        <w:jc w:val="both"/>
        <w:rPr>
          <w:lang w:val="en-US"/>
        </w:rPr>
      </w:pPr>
    </w:p>
    <w:p w:rsidR="00AE01C9" w:rsidRDefault="00AE01C9" w:rsidP="00B70C4E">
      <w:pPr>
        <w:rPr>
          <w:rFonts w:cstheme="minorHAnsi"/>
        </w:rPr>
      </w:pPr>
      <w:r>
        <w:rPr>
          <w:rFonts w:cstheme="minorHAnsi"/>
        </w:rPr>
        <w:br w:type="page"/>
      </w:r>
    </w:p>
    <w:p w:rsidR="00AE01C9" w:rsidRPr="00296801" w:rsidRDefault="00AE01C9" w:rsidP="002250DD">
      <w:pPr>
        <w:rPr>
          <w:b/>
          <w:sz w:val="28"/>
        </w:rPr>
      </w:pPr>
      <w:r w:rsidRPr="00296801">
        <w:rPr>
          <w:b/>
          <w:sz w:val="28"/>
        </w:rPr>
        <w:lastRenderedPageBreak/>
        <w:t>Further Information</w:t>
      </w:r>
    </w:p>
    <w:p w:rsidR="00EA4EBB" w:rsidRPr="00DB6310" w:rsidRDefault="0093561F" w:rsidP="00EA4EBB">
      <w:pPr>
        <w:pStyle w:val="ListParagraph"/>
        <w:numPr>
          <w:ilvl w:val="0"/>
          <w:numId w:val="8"/>
        </w:numPr>
      </w:pPr>
      <w:r w:rsidRPr="00DB6310">
        <w:rPr>
          <w:lang w:val="en-US"/>
        </w:rPr>
        <w:t xml:space="preserve">Constitution of Jordan: </w:t>
      </w:r>
      <w:hyperlink r:id="rId13" w:history="1">
        <w:r w:rsidRPr="00DB6310">
          <w:rPr>
            <w:rStyle w:val="Hyperlink"/>
            <w:lang w:val="en-US"/>
          </w:rPr>
          <w:t>http://www.representatives.jo/pdf/constitution_en.pdf</w:t>
        </w:r>
      </w:hyperlink>
    </w:p>
    <w:p w:rsidR="0093561F" w:rsidRPr="00DB6310" w:rsidRDefault="0093561F" w:rsidP="0093561F">
      <w:pPr>
        <w:pStyle w:val="ListParagraph"/>
        <w:numPr>
          <w:ilvl w:val="0"/>
          <w:numId w:val="8"/>
        </w:numPr>
        <w:rPr>
          <w:lang w:val="en-US"/>
        </w:rPr>
      </w:pPr>
      <w:r w:rsidRPr="00DB6310">
        <w:t>Ministry of Public Works and Housing:</w:t>
      </w:r>
      <w:r w:rsidRPr="00DB6310">
        <w:rPr>
          <w:lang w:val="en-US"/>
        </w:rPr>
        <w:t xml:space="preserve">  </w:t>
      </w:r>
      <w:hyperlink r:id="rId14" w:history="1">
        <w:r w:rsidRPr="00DB6310">
          <w:rPr>
            <w:rStyle w:val="Hyperlink"/>
            <w:lang w:val="en-US"/>
          </w:rPr>
          <w:t>http://www.mpwh.gov.jo/Pages/WelcomePage.aspx</w:t>
        </w:r>
      </w:hyperlink>
      <w:r w:rsidRPr="00DB6310">
        <w:rPr>
          <w:lang w:val="en-US"/>
        </w:rPr>
        <w:t xml:space="preserve"> </w:t>
      </w:r>
    </w:p>
    <w:p w:rsidR="0093561F" w:rsidRPr="00DB6310" w:rsidRDefault="00DB6310" w:rsidP="00EA4EBB">
      <w:pPr>
        <w:pStyle w:val="ListParagraph"/>
        <w:numPr>
          <w:ilvl w:val="0"/>
          <w:numId w:val="8"/>
        </w:numPr>
      </w:pPr>
      <w:r w:rsidRPr="00DB6310">
        <w:t>Housing and Urban Development Corporation:</w:t>
      </w:r>
      <w:r w:rsidRPr="00DB6310">
        <w:rPr>
          <w:sz w:val="18"/>
          <w:lang w:val="en-US"/>
        </w:rPr>
        <w:t xml:space="preserve"> </w:t>
      </w:r>
      <w:hyperlink r:id="rId15" w:history="1">
        <w:r w:rsidRPr="00DB6310">
          <w:rPr>
            <w:rStyle w:val="Hyperlink"/>
            <w:lang w:val="en-US"/>
          </w:rPr>
          <w:t>http://www.hudc.gov.jo/en</w:t>
        </w:r>
      </w:hyperlink>
      <w:r w:rsidRPr="00DB6310">
        <w:rPr>
          <w:lang w:val="en-US"/>
        </w:rPr>
        <w:t xml:space="preserve"> </w:t>
      </w:r>
    </w:p>
    <w:p w:rsidR="00376665" w:rsidRPr="00DB6310" w:rsidRDefault="00376665" w:rsidP="00EA4EBB">
      <w:pPr>
        <w:pStyle w:val="ListParagraph"/>
        <w:numPr>
          <w:ilvl w:val="0"/>
          <w:numId w:val="8"/>
        </w:numPr>
      </w:pPr>
      <w:r w:rsidRPr="00DB6310">
        <w:t xml:space="preserve">OHCHR Convention Ratification Status: </w:t>
      </w:r>
      <w:hyperlink r:id="rId16" w:history="1">
        <w:r w:rsidRPr="00DB6310">
          <w:rPr>
            <w:rStyle w:val="Hyperlink"/>
          </w:rPr>
          <w:t>http://indicators.ohchr.org/</w:t>
        </w:r>
      </w:hyperlink>
    </w:p>
    <w:p w:rsidR="00376665" w:rsidRPr="00DB6310" w:rsidRDefault="00376665" w:rsidP="00E93A9D">
      <w:pPr>
        <w:pStyle w:val="ListParagraph"/>
        <w:numPr>
          <w:ilvl w:val="0"/>
          <w:numId w:val="8"/>
        </w:numPr>
      </w:pPr>
      <w:r w:rsidRPr="00DB6310">
        <w:t>Universal Periodic Review:</w:t>
      </w:r>
      <w:r w:rsidR="00DB6310" w:rsidRPr="00DB6310">
        <w:rPr>
          <w:sz w:val="18"/>
          <w:lang w:val="en-US"/>
        </w:rPr>
        <w:t xml:space="preserve"> </w:t>
      </w:r>
      <w:hyperlink r:id="rId17" w:history="1">
        <w:r w:rsidR="00DB6310" w:rsidRPr="00DB6310">
          <w:rPr>
            <w:rStyle w:val="Hyperlink"/>
            <w:lang w:val="en-US"/>
          </w:rPr>
          <w:t>http://www.ohchr.org/EN/HRBodies/UPR/Pages/JOSession4.aspx</w:t>
        </w:r>
      </w:hyperlink>
      <w:r w:rsidR="00DB6310" w:rsidRPr="00DB6310">
        <w:rPr>
          <w:lang w:val="en-US"/>
        </w:rPr>
        <w:t xml:space="preserve"> </w:t>
      </w:r>
    </w:p>
    <w:p w:rsidR="00DB6310" w:rsidRPr="00DB6310" w:rsidRDefault="00296801" w:rsidP="00DB6310">
      <w:pPr>
        <w:pStyle w:val="ListParagraph"/>
        <w:numPr>
          <w:ilvl w:val="0"/>
          <w:numId w:val="8"/>
        </w:numPr>
      </w:pPr>
      <w:r w:rsidRPr="00DB6310">
        <w:rPr>
          <w:rFonts w:cstheme="minorHAnsi"/>
          <w:bCs/>
        </w:rPr>
        <w:t>Report of the United Nations High Comm</w:t>
      </w:r>
      <w:r w:rsidR="00DB6310" w:rsidRPr="00DB6310">
        <w:rPr>
          <w:rFonts w:cstheme="minorHAnsi"/>
          <w:bCs/>
        </w:rPr>
        <w:t>issioner for Human Rights</w:t>
      </w:r>
      <w:r w:rsidRPr="00DB6310">
        <w:rPr>
          <w:rFonts w:cstheme="minorHAnsi"/>
          <w:bCs/>
        </w:rPr>
        <w:t>:</w:t>
      </w:r>
      <w:hyperlink r:id="rId18" w:history="1"/>
      <w:r w:rsidR="00DB6310" w:rsidRPr="00DB6310">
        <w:t xml:space="preserve"> </w:t>
      </w:r>
      <w:hyperlink r:id="rId19" w:history="1">
        <w:r w:rsidR="00DB6310" w:rsidRPr="00DB6310">
          <w:rPr>
            <w:rStyle w:val="Hyperlink"/>
          </w:rPr>
          <w:t>http://daccess-dds-ny.un.org/doc/UNDOC/GEN/G13/160/28/PDF/G1316028.pdf?OpenElement</w:t>
        </w:r>
      </w:hyperlink>
      <w:r w:rsidR="00DB6310" w:rsidRPr="00DB6310">
        <w:t xml:space="preserve"> </w:t>
      </w:r>
    </w:p>
    <w:p w:rsidR="00376665" w:rsidRPr="00DB6310" w:rsidRDefault="00296801" w:rsidP="005742B8">
      <w:pPr>
        <w:pStyle w:val="ListParagraph"/>
        <w:numPr>
          <w:ilvl w:val="0"/>
          <w:numId w:val="8"/>
        </w:numPr>
      </w:pPr>
      <w:r w:rsidRPr="00DB6310">
        <w:t>UNCT:</w:t>
      </w:r>
      <w:r w:rsidR="00DB6310" w:rsidRPr="00DB6310">
        <w:rPr>
          <w:sz w:val="18"/>
          <w:lang w:val="en-US"/>
        </w:rPr>
        <w:t xml:space="preserve"> </w:t>
      </w:r>
      <w:hyperlink r:id="rId20" w:history="1">
        <w:r w:rsidR="00DB6310" w:rsidRPr="00DB6310">
          <w:rPr>
            <w:rStyle w:val="Hyperlink"/>
            <w:lang w:val="en-US"/>
          </w:rPr>
          <w:t>http://undg.org/home/country-teams/arab-states/jordan/</w:t>
        </w:r>
      </w:hyperlink>
      <w:r w:rsidR="00DB6310" w:rsidRPr="00DB6310">
        <w:rPr>
          <w:lang w:val="en-US"/>
        </w:rPr>
        <w:t xml:space="preserve">   </w:t>
      </w:r>
      <w:hyperlink r:id="rId21" w:history="1"/>
    </w:p>
    <w:p w:rsidR="00296801" w:rsidRPr="00DB6310" w:rsidRDefault="00296801" w:rsidP="00CC2C56">
      <w:pPr>
        <w:pStyle w:val="ListParagraph"/>
        <w:numPr>
          <w:ilvl w:val="0"/>
          <w:numId w:val="8"/>
        </w:numPr>
      </w:pPr>
      <w:r w:rsidRPr="00DB6310">
        <w:t>UNDAF:</w:t>
      </w:r>
      <w:hyperlink r:id="rId22" w:history="1"/>
      <w:hyperlink r:id="rId23" w:history="1"/>
      <w:r w:rsidR="00DB6310" w:rsidRPr="00DB6310">
        <w:rPr>
          <w:rStyle w:val="Hyperlink"/>
        </w:rPr>
        <w:t xml:space="preserve"> </w:t>
      </w:r>
      <w:hyperlink r:id="rId24" w:history="1">
        <w:r w:rsidR="00DB6310" w:rsidRPr="00DB6310">
          <w:rPr>
            <w:rStyle w:val="Hyperlink"/>
            <w:lang w:val="en-US"/>
          </w:rPr>
          <w:t>http://inform.gov.jo/Portals/0/Report%20PDFs/0.%20General/2013-2017%20United%20Nations%20Development%20Assistance%20Framework.pdf</w:t>
        </w:r>
      </w:hyperlink>
      <w:r w:rsidR="00DB6310" w:rsidRPr="00DB6310">
        <w:rPr>
          <w:color w:val="0000FF" w:themeColor="hyperlink"/>
          <w:u w:val="single"/>
          <w:lang w:val="en-US"/>
        </w:rPr>
        <w:t xml:space="preserve"> </w:t>
      </w:r>
    </w:p>
    <w:p w:rsidR="00296801" w:rsidRPr="00DB6310" w:rsidRDefault="00296801" w:rsidP="00EA4EBB">
      <w:pPr>
        <w:pStyle w:val="ListParagraph"/>
        <w:numPr>
          <w:ilvl w:val="0"/>
          <w:numId w:val="8"/>
        </w:numPr>
        <w:rPr>
          <w:lang w:val="fr-FR"/>
        </w:rPr>
      </w:pPr>
      <w:r w:rsidRPr="00DB6310">
        <w:rPr>
          <w:lang w:val="fr-FR"/>
        </w:rPr>
        <w:t>UN-Habitat</w:t>
      </w:r>
      <w:r w:rsidR="00DB6310" w:rsidRPr="00DB6310">
        <w:rPr>
          <w:lang w:val="fr-FR"/>
        </w:rPr>
        <w:t xml:space="preserve"> Jordan</w:t>
      </w:r>
      <w:r w:rsidRPr="00DB6310">
        <w:rPr>
          <w:lang w:val="fr-FR"/>
        </w:rPr>
        <w:t xml:space="preserve"> </w:t>
      </w:r>
      <w:proofErr w:type="spellStart"/>
      <w:r w:rsidRPr="00DB6310">
        <w:rPr>
          <w:lang w:val="fr-FR"/>
        </w:rPr>
        <w:t>Summary</w:t>
      </w:r>
      <w:proofErr w:type="spellEnd"/>
      <w:r w:rsidRPr="00DB6310">
        <w:rPr>
          <w:lang w:val="fr-FR"/>
        </w:rPr>
        <w:t xml:space="preserve">: </w:t>
      </w:r>
      <w:hyperlink r:id="rId25" w:history="1"/>
      <w:hyperlink r:id="rId26" w:history="1">
        <w:r w:rsidR="00DB6310" w:rsidRPr="00DB6310">
          <w:rPr>
            <w:rStyle w:val="Hyperlink"/>
            <w:lang w:val="en-US"/>
          </w:rPr>
          <w:t>http://unhabitat.org/jordan/</w:t>
        </w:r>
      </w:hyperlink>
      <w:r w:rsidR="00DB6310" w:rsidRPr="00DB6310">
        <w:rPr>
          <w:lang w:val="en-US"/>
        </w:rPr>
        <w:t xml:space="preserve"> </w:t>
      </w:r>
    </w:p>
    <w:p w:rsidR="00A80161" w:rsidRPr="00DB6310" w:rsidRDefault="00A80161" w:rsidP="002250DD">
      <w:pPr>
        <w:pStyle w:val="ListParagraph"/>
        <w:numPr>
          <w:ilvl w:val="0"/>
          <w:numId w:val="8"/>
        </w:numPr>
        <w:rPr>
          <w:lang w:val="en-US"/>
        </w:rPr>
      </w:pPr>
      <w:r w:rsidRPr="00DB6310">
        <w:rPr>
          <w:lang w:val="en-US"/>
        </w:rPr>
        <w:t xml:space="preserve">OHCHR: </w:t>
      </w:r>
      <w:hyperlink r:id="rId27" w:history="1">
        <w:r w:rsidRPr="00DB6310">
          <w:rPr>
            <w:rStyle w:val="Hyperlink"/>
            <w:color w:val="auto"/>
            <w:lang w:val="en-US"/>
          </w:rPr>
          <w:t>http://www.ohchr.org/EN/Pages/WelcomePage.aspx</w:t>
        </w:r>
      </w:hyperlink>
    </w:p>
    <w:p w:rsidR="00A80161" w:rsidRPr="00DB6310" w:rsidRDefault="00A80161" w:rsidP="002250DD">
      <w:pPr>
        <w:pStyle w:val="ListParagraph"/>
        <w:numPr>
          <w:ilvl w:val="0"/>
          <w:numId w:val="8"/>
        </w:numPr>
        <w:rPr>
          <w:rStyle w:val="Hyperlink"/>
          <w:color w:val="auto"/>
          <w:u w:val="none"/>
          <w:lang w:val="pt-BR"/>
        </w:rPr>
      </w:pPr>
      <w:r w:rsidRPr="00DB6310">
        <w:rPr>
          <w:lang w:val="pt-BR"/>
        </w:rPr>
        <w:t xml:space="preserve">UN-Habitat: </w:t>
      </w:r>
      <w:hyperlink r:id="rId28" w:history="1">
        <w:r w:rsidRPr="00DB6310">
          <w:rPr>
            <w:rStyle w:val="Hyperlink"/>
            <w:color w:val="auto"/>
            <w:lang w:val="pt-BR"/>
          </w:rPr>
          <w:t>http://unhabitat.org/</w:t>
        </w:r>
      </w:hyperlink>
    </w:p>
    <w:p w:rsidR="00A80161" w:rsidRPr="00DB6310" w:rsidRDefault="00A80161" w:rsidP="002250DD">
      <w:pPr>
        <w:pStyle w:val="ListParagraph"/>
        <w:numPr>
          <w:ilvl w:val="0"/>
          <w:numId w:val="8"/>
        </w:numPr>
      </w:pPr>
      <w:r w:rsidRPr="00DB6310">
        <w:t xml:space="preserve">Universal Periodic Review: </w:t>
      </w:r>
      <w:hyperlink r:id="rId29" w:history="1">
        <w:r w:rsidRPr="00DB6310">
          <w:rPr>
            <w:rStyle w:val="Hyperlink"/>
            <w:color w:val="auto"/>
          </w:rPr>
          <w:t>http://www.ohchr.org/EN/HRBodies/UPR/Pages/UPRMain.aspx</w:t>
        </w:r>
      </w:hyperlink>
    </w:p>
    <w:p w:rsidR="00A80161" w:rsidRPr="00DB6310" w:rsidRDefault="00A80161" w:rsidP="002250DD">
      <w:pPr>
        <w:pStyle w:val="ListParagraph"/>
        <w:numPr>
          <w:ilvl w:val="0"/>
          <w:numId w:val="8"/>
        </w:numPr>
        <w:rPr>
          <w:lang w:val="en-US"/>
        </w:rPr>
      </w:pPr>
      <w:r w:rsidRPr="00DB6310">
        <w:rPr>
          <w:lang w:val="en-US"/>
        </w:rPr>
        <w:t>Special Rapporteur</w:t>
      </w:r>
      <w:r w:rsidR="00C678AD" w:rsidRPr="00DB6310">
        <w:rPr>
          <w:lang w:val="en-US"/>
        </w:rPr>
        <w:t xml:space="preserve"> on </w:t>
      </w:r>
      <w:r w:rsidR="00B85124" w:rsidRPr="00DB6310">
        <w:rPr>
          <w:lang w:val="en-US"/>
        </w:rPr>
        <w:t>Adequate</w:t>
      </w:r>
      <w:r w:rsidR="007A1DD8">
        <w:rPr>
          <w:lang w:val="en-US"/>
        </w:rPr>
        <w:t xml:space="preserve"> </w:t>
      </w:r>
      <w:r w:rsidR="00B85124" w:rsidRPr="00DB6310">
        <w:rPr>
          <w:lang w:val="en-US"/>
        </w:rPr>
        <w:t>Housing</w:t>
      </w:r>
      <w:r w:rsidRPr="00DB6310">
        <w:rPr>
          <w:lang w:val="en-US"/>
        </w:rPr>
        <w:t xml:space="preserve">: </w:t>
      </w:r>
      <w:hyperlink r:id="rId30" w:history="1">
        <w:r w:rsidRPr="00DB6310">
          <w:rPr>
            <w:rStyle w:val="Hyperlink"/>
            <w:color w:val="auto"/>
            <w:lang w:val="en-US"/>
          </w:rPr>
          <w:t>http://www.ohchr.org/EN/Issues/Housing/Pages/HousingIndex.aspx</w:t>
        </w:r>
      </w:hyperlink>
    </w:p>
    <w:p w:rsidR="00A80161" w:rsidRPr="00341378" w:rsidRDefault="00A80161" w:rsidP="002250DD">
      <w:pPr>
        <w:ind w:left="360"/>
        <w:rPr>
          <w:lang w:val="en-US"/>
        </w:rPr>
      </w:pPr>
    </w:p>
    <w:p w:rsidR="0093561F" w:rsidRPr="0093561F" w:rsidRDefault="0093561F" w:rsidP="0093561F">
      <w:pPr>
        <w:rPr>
          <w:sz w:val="18"/>
          <w:lang w:val="en-US"/>
        </w:rPr>
      </w:pPr>
      <w:r w:rsidRPr="0093561F">
        <w:rPr>
          <w:sz w:val="18"/>
          <w:lang w:val="en-US"/>
        </w:rPr>
        <w:t xml:space="preserve">  </w:t>
      </w:r>
    </w:p>
    <w:p w:rsidR="0093561F" w:rsidRPr="0093561F" w:rsidRDefault="00DB6310" w:rsidP="0093561F">
      <w:pPr>
        <w:rPr>
          <w:sz w:val="18"/>
          <w:lang w:val="en-US"/>
        </w:rPr>
      </w:pPr>
      <w:r>
        <w:rPr>
          <w:sz w:val="18"/>
          <w:lang w:val="en-US"/>
        </w:rPr>
        <w:t xml:space="preserve"> </w:t>
      </w:r>
    </w:p>
    <w:p w:rsidR="0093561F" w:rsidRPr="0093561F" w:rsidRDefault="00DB6310" w:rsidP="0093561F">
      <w:pPr>
        <w:rPr>
          <w:sz w:val="18"/>
          <w:lang w:val="en-US"/>
        </w:rPr>
      </w:pPr>
      <w:r>
        <w:rPr>
          <w:sz w:val="18"/>
          <w:lang w:val="en-US"/>
        </w:rPr>
        <w:t xml:space="preserve"> </w:t>
      </w:r>
    </w:p>
    <w:p w:rsidR="0093561F" w:rsidRPr="0093561F" w:rsidRDefault="0093561F" w:rsidP="0093561F">
      <w:pPr>
        <w:rPr>
          <w:sz w:val="18"/>
          <w:lang w:val="en-US"/>
        </w:rPr>
      </w:pPr>
      <w:r w:rsidRPr="0093561F">
        <w:rPr>
          <w:sz w:val="18"/>
          <w:lang w:val="en-US"/>
        </w:rPr>
        <w:t xml:space="preserve"> </w:t>
      </w:r>
    </w:p>
    <w:p w:rsidR="002E7D99" w:rsidRPr="00341378" w:rsidRDefault="0093561F" w:rsidP="0093561F">
      <w:pPr>
        <w:rPr>
          <w:sz w:val="18"/>
          <w:lang w:val="en-US"/>
        </w:rPr>
      </w:pPr>
      <w:r w:rsidRPr="0093561F">
        <w:rPr>
          <w:sz w:val="18"/>
          <w:lang w:val="en-US"/>
        </w:rPr>
        <w:t xml:space="preserve"> </w:t>
      </w:r>
    </w:p>
    <w:sectPr w:rsidR="002E7D99" w:rsidRPr="00341378" w:rsidSect="007C4F87">
      <w:headerReference w:type="default" r:id="rId31"/>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B0" w:rsidRDefault="00023FB0" w:rsidP="00E70BF1">
      <w:pPr>
        <w:spacing w:after="0" w:line="240" w:lineRule="auto"/>
      </w:pPr>
      <w:r>
        <w:separator/>
      </w:r>
    </w:p>
  </w:endnote>
  <w:endnote w:type="continuationSeparator" w:id="0">
    <w:p w:rsidR="00023FB0" w:rsidRDefault="00023FB0"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B0" w:rsidRDefault="00023FB0" w:rsidP="00E70BF1">
      <w:pPr>
        <w:spacing w:after="0" w:line="240" w:lineRule="auto"/>
      </w:pPr>
      <w:r>
        <w:separator/>
      </w:r>
    </w:p>
  </w:footnote>
  <w:footnote w:type="continuationSeparator" w:id="0">
    <w:p w:rsidR="00023FB0" w:rsidRDefault="00023FB0" w:rsidP="00E70BF1">
      <w:pPr>
        <w:spacing w:after="0" w:line="240" w:lineRule="auto"/>
      </w:pPr>
      <w:r>
        <w:continuationSeparator/>
      </w:r>
    </w:p>
  </w:footnote>
  <w:footnote w:id="1">
    <w:p w:rsidR="00825851" w:rsidRPr="00BF207E" w:rsidRDefault="00825851">
      <w:pPr>
        <w:pStyle w:val="FootnoteText"/>
        <w:rPr>
          <w:lang w:val="en-US"/>
        </w:rPr>
      </w:pPr>
      <w:r>
        <w:rPr>
          <w:rStyle w:val="FootnoteReference"/>
        </w:rPr>
        <w:footnoteRef/>
      </w:r>
      <w:r w:rsidR="00486771">
        <w:t xml:space="preserve"> </w:t>
      </w:r>
      <w:r w:rsidR="004C5E97" w:rsidRPr="004C5E97">
        <w:t>http://www.representatives.jo/pdf/constitution_en.pdf</w:t>
      </w:r>
      <w:r w:rsidR="004C5E97">
        <w:t xml:space="preserve"> </w:t>
      </w:r>
    </w:p>
  </w:footnote>
  <w:footnote w:id="2">
    <w:p w:rsidR="00377121" w:rsidRPr="00377121" w:rsidRDefault="00377121">
      <w:pPr>
        <w:pStyle w:val="FootnoteText"/>
        <w:rPr>
          <w:lang w:val="en-US"/>
        </w:rPr>
      </w:pPr>
      <w:r>
        <w:rPr>
          <w:rStyle w:val="FootnoteReference"/>
        </w:rPr>
        <w:footnoteRef/>
      </w:r>
      <w:r>
        <w:t xml:space="preserve"> </w:t>
      </w:r>
      <w:r w:rsidRPr="00377121">
        <w:t>http://www.mpwh.gov.jo/Pages/WelcomePage.aspx</w:t>
      </w:r>
    </w:p>
  </w:footnote>
  <w:footnote w:id="3">
    <w:p w:rsidR="00970F85" w:rsidRPr="00970F85" w:rsidRDefault="00970F85">
      <w:pPr>
        <w:pStyle w:val="FootnoteText"/>
        <w:rPr>
          <w:lang w:val="en-US"/>
        </w:rPr>
      </w:pPr>
      <w:r>
        <w:rPr>
          <w:rStyle w:val="FootnoteReference"/>
        </w:rPr>
        <w:footnoteRef/>
      </w:r>
      <w:r>
        <w:t xml:space="preserve"> </w:t>
      </w:r>
      <w:r w:rsidRPr="00970F85">
        <w:t>http://www.hudc.gov.jo/en</w:t>
      </w:r>
    </w:p>
  </w:footnote>
  <w:footnote w:id="4">
    <w:p w:rsidR="00825851" w:rsidRPr="00376665" w:rsidRDefault="00825851">
      <w:pPr>
        <w:pStyle w:val="FootnoteText"/>
        <w:rPr>
          <w:lang w:val="en-US"/>
        </w:rPr>
      </w:pPr>
      <w:r>
        <w:rPr>
          <w:rStyle w:val="FootnoteReference"/>
        </w:rPr>
        <w:footnoteRef/>
      </w:r>
      <w:r w:rsidRPr="00376665">
        <w:t>http://indicators.ohchr.org/</w:t>
      </w:r>
    </w:p>
  </w:footnote>
  <w:footnote w:id="5">
    <w:p w:rsidR="00970F85" w:rsidRPr="00970F85" w:rsidRDefault="00970F85">
      <w:pPr>
        <w:pStyle w:val="FootnoteText"/>
        <w:rPr>
          <w:lang w:val="en-US"/>
        </w:rPr>
      </w:pPr>
      <w:r>
        <w:rPr>
          <w:rStyle w:val="FootnoteReference"/>
        </w:rPr>
        <w:footnoteRef/>
      </w:r>
      <w:r>
        <w:t xml:space="preserve"> </w:t>
      </w:r>
      <w:r w:rsidR="00776792" w:rsidRPr="00776792">
        <w:t>http://www.ohchr.org/EN/HRBodies/UPR/Pages/JOSession4.aspx</w:t>
      </w:r>
    </w:p>
  </w:footnote>
  <w:footnote w:id="6">
    <w:p w:rsidR="00282C36" w:rsidRPr="00282C36" w:rsidRDefault="00282C36">
      <w:pPr>
        <w:pStyle w:val="FootnoteText"/>
        <w:rPr>
          <w:lang w:val="en-US"/>
        </w:rPr>
      </w:pPr>
      <w:r>
        <w:rPr>
          <w:rStyle w:val="FootnoteReference"/>
        </w:rPr>
        <w:footnoteRef/>
      </w:r>
      <w:r>
        <w:t xml:space="preserve"> </w:t>
      </w:r>
      <w:r w:rsidRPr="00282C36">
        <w:t>http://www.ohchr.org/EN/HRBodies/UPR/Pages/JOSession17.aspx</w:t>
      </w:r>
    </w:p>
  </w:footnote>
  <w:footnote w:id="7">
    <w:p w:rsidR="00DB6310" w:rsidRPr="00DB6310" w:rsidRDefault="00DB6310">
      <w:pPr>
        <w:pStyle w:val="FootnoteText"/>
        <w:rPr>
          <w:lang w:val="en-US"/>
        </w:rPr>
      </w:pPr>
      <w:r>
        <w:rPr>
          <w:rStyle w:val="FootnoteReference"/>
        </w:rPr>
        <w:footnoteRef/>
      </w:r>
      <w:r>
        <w:t xml:space="preserve"> </w:t>
      </w:r>
      <w:r w:rsidRPr="00DB6310">
        <w:t>http://daccess-dds-ny.un.org/doc/UNDOC/GEN/G13/160/28/PDF/G1316028.pdf?OpenElement</w:t>
      </w:r>
    </w:p>
  </w:footnote>
  <w:footnote w:id="8">
    <w:p w:rsidR="00825851" w:rsidRPr="00BF207E" w:rsidRDefault="00825851">
      <w:pPr>
        <w:pStyle w:val="FootnoteText"/>
        <w:rPr>
          <w:lang w:val="en-US"/>
        </w:rPr>
      </w:pPr>
      <w:r>
        <w:rPr>
          <w:rStyle w:val="FootnoteReference"/>
        </w:rPr>
        <w:footnoteRef/>
      </w:r>
      <w:r w:rsidR="003A7C10">
        <w:t xml:space="preserve">Concluding Observations </w:t>
      </w:r>
      <w:r w:rsidR="003A7C10" w:rsidRPr="003A7C10">
        <w:t>E/C.12/1/Add.46</w:t>
      </w:r>
    </w:p>
  </w:footnote>
  <w:footnote w:id="9">
    <w:p w:rsidR="00825851" w:rsidRPr="00BF207E" w:rsidRDefault="00825851">
      <w:pPr>
        <w:pStyle w:val="FootnoteText"/>
        <w:rPr>
          <w:lang w:val="en-US"/>
        </w:rPr>
      </w:pPr>
      <w:r>
        <w:rPr>
          <w:rStyle w:val="FootnoteReference"/>
        </w:rPr>
        <w:footnoteRef/>
      </w:r>
      <w:r w:rsidR="00D80D56" w:rsidRPr="00D80D56">
        <w:t>http://undg.org/home/country-teams/arab-states/jordan/</w:t>
      </w:r>
      <w:hyperlink r:id="rId1" w:history="1"/>
      <w:r w:rsidR="00D80D56">
        <w:rPr>
          <w:rStyle w:val="Hyperlink"/>
        </w:rPr>
        <w:t xml:space="preserve"> </w:t>
      </w:r>
    </w:p>
  </w:footnote>
  <w:footnote w:id="10">
    <w:p w:rsidR="00825851" w:rsidRPr="00BF207E" w:rsidRDefault="00825851">
      <w:pPr>
        <w:pStyle w:val="FootnoteText"/>
        <w:rPr>
          <w:lang w:val="en-US"/>
        </w:rPr>
      </w:pPr>
      <w:r>
        <w:rPr>
          <w:rStyle w:val="FootnoteReference"/>
        </w:rPr>
        <w:footnoteRef/>
      </w:r>
      <w:r w:rsidR="005A6182" w:rsidRPr="005A6182">
        <w:rPr>
          <w:lang w:val="en-US"/>
        </w:rPr>
        <w:t>http://inform.gov.jo/Portals/0/Report%20PDFs/0.%20General/2013-2017%20United%20Nations%20Development%20Assistance%20Framework.pdf</w:t>
      </w:r>
    </w:p>
  </w:footnote>
  <w:footnote w:id="11">
    <w:p w:rsidR="00825851" w:rsidRPr="00B33886" w:rsidRDefault="00825851">
      <w:pPr>
        <w:pStyle w:val="FootnoteText"/>
        <w:rPr>
          <w:lang w:val="en-US"/>
        </w:rPr>
      </w:pPr>
      <w:r>
        <w:rPr>
          <w:rStyle w:val="FootnoteReference"/>
        </w:rPr>
        <w:footnoteRef/>
      </w:r>
      <w:hyperlink r:id="rId2" w:history="1">
        <w:r w:rsidR="0093561F" w:rsidRPr="006A65EC">
          <w:rPr>
            <w:rStyle w:val="Hyperlink"/>
          </w:rPr>
          <w:t>http://unhabitat.org/jordan/</w:t>
        </w:r>
      </w:hyperlink>
      <w:r w:rsidR="0093561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825851" w:rsidRDefault="00825851">
        <w:pPr>
          <w:pStyle w:val="Header"/>
          <w:jc w:val="center"/>
        </w:pPr>
        <w:r>
          <w:rPr>
            <w:noProof/>
            <w:lang w:val="en-US"/>
          </w:rPr>
          <w:drawing>
            <wp:anchor distT="0" distB="0" distL="114300" distR="114300" simplePos="0" relativeHeight="251660288" behindDoc="1" locked="0" layoutInCell="1" allowOverlap="1" wp14:anchorId="35333512" wp14:editId="0887CEBB">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anchor>
          </w:drawing>
        </w:r>
      </w:p>
      <w:p w:rsidR="00825851" w:rsidRPr="007C4F87" w:rsidRDefault="00825851">
        <w:pPr>
          <w:pStyle w:val="Header"/>
          <w:jc w:val="center"/>
          <w:rPr>
            <w:b/>
            <w:color w:val="FFFFFF" w:themeColor="background1"/>
          </w:rPr>
        </w:pPr>
      </w:p>
      <w:p w:rsidR="00825851" w:rsidRPr="00227F11" w:rsidRDefault="000C2FEC" w:rsidP="007C4F87">
        <w:pPr>
          <w:jc w:val="center"/>
          <w:rPr>
            <w:b/>
            <w:color w:val="FFFFFF" w:themeColor="background1"/>
          </w:rPr>
        </w:pPr>
        <w:r w:rsidRPr="00227F11">
          <w:rPr>
            <w:b/>
            <w:color w:val="FFFFFF" w:themeColor="background1"/>
          </w:rPr>
          <w:t xml:space="preserve"> </w:t>
        </w:r>
        <w:r w:rsidR="00825851" w:rsidRPr="00227F11">
          <w:rPr>
            <w:b/>
            <w:color w:val="FFFFFF" w:themeColor="background1"/>
          </w:rPr>
          <w:t>Housing Rights</w:t>
        </w:r>
        <w:r w:rsidR="00C47115">
          <w:rPr>
            <w:b/>
            <w:color w:val="FFFFFF" w:themeColor="background1"/>
          </w:rPr>
          <w:t xml:space="preserve"> and Human</w:t>
        </w:r>
        <w:r w:rsidRPr="00227F11">
          <w:rPr>
            <w:b/>
            <w:color w:val="FFFFFF" w:themeColor="background1"/>
          </w:rPr>
          <w:t xml:space="preserve"> Brief </w:t>
        </w:r>
        <w:r w:rsidR="00825851" w:rsidRPr="00227F11">
          <w:rPr>
            <w:b/>
            <w:color w:val="FFFFFF" w:themeColor="background1"/>
          </w:rPr>
          <w:br/>
        </w:r>
        <w:r w:rsidR="00454E1D" w:rsidRPr="00227F11">
          <w:rPr>
            <w:b/>
            <w:color w:val="FFFFFF" w:themeColor="background1"/>
          </w:rPr>
          <w:fldChar w:fldCharType="begin"/>
        </w:r>
        <w:r w:rsidR="00825851" w:rsidRPr="00227F11">
          <w:rPr>
            <w:b/>
            <w:color w:val="FFFFFF" w:themeColor="background1"/>
          </w:rPr>
          <w:instrText xml:space="preserve"> PAGE   \* MERGEFORMAT </w:instrText>
        </w:r>
        <w:r w:rsidR="00454E1D" w:rsidRPr="00227F11">
          <w:rPr>
            <w:b/>
            <w:color w:val="FFFFFF" w:themeColor="background1"/>
          </w:rPr>
          <w:fldChar w:fldCharType="separate"/>
        </w:r>
        <w:r w:rsidR="00B37C46">
          <w:rPr>
            <w:b/>
            <w:noProof/>
            <w:color w:val="FFFFFF" w:themeColor="background1"/>
          </w:rPr>
          <w:t>2</w:t>
        </w:r>
        <w:r w:rsidR="00454E1D" w:rsidRPr="00227F11">
          <w:rPr>
            <w:b/>
            <w:noProof/>
            <w:color w:val="FFFFFF" w:themeColor="background1"/>
          </w:rPr>
          <w:fldChar w:fldCharType="end"/>
        </w:r>
      </w:p>
    </w:sdtContent>
  </w:sdt>
  <w:p w:rsidR="00825851" w:rsidRDefault="00825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E83"/>
    <w:multiLevelType w:val="hybridMultilevel"/>
    <w:tmpl w:val="A5566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A6E67"/>
    <w:multiLevelType w:val="hybridMultilevel"/>
    <w:tmpl w:val="260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81DBF"/>
    <w:multiLevelType w:val="multilevel"/>
    <w:tmpl w:val="DA3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747AF"/>
    <w:multiLevelType w:val="hybridMultilevel"/>
    <w:tmpl w:val="870082E2"/>
    <w:lvl w:ilvl="0" w:tplc="D78A5684">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613EC"/>
    <w:multiLevelType w:val="hybridMultilevel"/>
    <w:tmpl w:val="05D8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A775BE"/>
    <w:multiLevelType w:val="hybridMultilevel"/>
    <w:tmpl w:val="2CECBB56"/>
    <w:lvl w:ilvl="0" w:tplc="BC92B9B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3DB588D"/>
    <w:multiLevelType w:val="hybridMultilevel"/>
    <w:tmpl w:val="D2F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A91F42"/>
    <w:multiLevelType w:val="hybridMultilevel"/>
    <w:tmpl w:val="FB547AF6"/>
    <w:lvl w:ilvl="0" w:tplc="B794436C">
      <w:start w:val="1"/>
      <w:numFmt w:val="decimal"/>
      <w:lvlText w:val="%1."/>
      <w:lvlJc w:val="left"/>
      <w:pPr>
        <w:ind w:left="720" w:hanging="360"/>
      </w:pPr>
      <w:rPr>
        <w:rFonts w:asciiTheme="minorHAnsi" w:hAnsiTheme="minorHAnsi" w:cs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3291F"/>
    <w:multiLevelType w:val="hybridMultilevel"/>
    <w:tmpl w:val="35CAE75A"/>
    <w:lvl w:ilvl="0" w:tplc="0CF8E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72962"/>
    <w:multiLevelType w:val="multilevel"/>
    <w:tmpl w:val="B18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C639A9"/>
    <w:multiLevelType w:val="hybridMultilevel"/>
    <w:tmpl w:val="1C8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63F23"/>
    <w:multiLevelType w:val="hybridMultilevel"/>
    <w:tmpl w:val="EA7AD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7AA6587"/>
    <w:multiLevelType w:val="hybridMultilevel"/>
    <w:tmpl w:val="7B2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E9B76BF"/>
    <w:multiLevelType w:val="multilevel"/>
    <w:tmpl w:val="A1A8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683E1A"/>
    <w:multiLevelType w:val="hybridMultilevel"/>
    <w:tmpl w:val="411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F73D1"/>
    <w:multiLevelType w:val="hybridMultilevel"/>
    <w:tmpl w:val="E5C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60446"/>
    <w:multiLevelType w:val="hybridMultilevel"/>
    <w:tmpl w:val="58E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6"/>
  </w:num>
  <w:num w:numId="4">
    <w:abstractNumId w:val="17"/>
  </w:num>
  <w:num w:numId="5">
    <w:abstractNumId w:val="19"/>
  </w:num>
  <w:num w:numId="6">
    <w:abstractNumId w:val="3"/>
  </w:num>
  <w:num w:numId="7">
    <w:abstractNumId w:val="20"/>
  </w:num>
  <w:num w:numId="8">
    <w:abstractNumId w:val="7"/>
  </w:num>
  <w:num w:numId="9">
    <w:abstractNumId w:val="10"/>
  </w:num>
  <w:num w:numId="10">
    <w:abstractNumId w:val="13"/>
  </w:num>
  <w:num w:numId="11">
    <w:abstractNumId w:val="2"/>
  </w:num>
  <w:num w:numId="12">
    <w:abstractNumId w:val="1"/>
  </w:num>
  <w:num w:numId="13">
    <w:abstractNumId w:val="14"/>
  </w:num>
  <w:num w:numId="14">
    <w:abstractNumId w:val="8"/>
  </w:num>
  <w:num w:numId="15">
    <w:abstractNumId w:val="12"/>
  </w:num>
  <w:num w:numId="16">
    <w:abstractNumId w:val="4"/>
  </w:num>
  <w:num w:numId="17">
    <w:abstractNumId w:val="11"/>
  </w:num>
  <w:num w:numId="18">
    <w:abstractNumId w:val="9"/>
  </w:num>
  <w:num w:numId="19">
    <w:abstractNumId w:val="24"/>
  </w:num>
  <w:num w:numId="20">
    <w:abstractNumId w:val="25"/>
  </w:num>
  <w:num w:numId="21">
    <w:abstractNumId w:val="18"/>
  </w:num>
  <w:num w:numId="22">
    <w:abstractNumId w:val="5"/>
  </w:num>
  <w:num w:numId="23">
    <w:abstractNumId w:val="22"/>
  </w:num>
  <w:num w:numId="24">
    <w:abstractNumId w:val="15"/>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70E7"/>
    <w:rsid w:val="00023FB0"/>
    <w:rsid w:val="000338C1"/>
    <w:rsid w:val="00046EAE"/>
    <w:rsid w:val="00053462"/>
    <w:rsid w:val="00064D89"/>
    <w:rsid w:val="00065DBA"/>
    <w:rsid w:val="000743B7"/>
    <w:rsid w:val="000B5A30"/>
    <w:rsid w:val="000C2FEC"/>
    <w:rsid w:val="001158E4"/>
    <w:rsid w:val="00150789"/>
    <w:rsid w:val="001B7B83"/>
    <w:rsid w:val="001D33D4"/>
    <w:rsid w:val="001E2277"/>
    <w:rsid w:val="001F4004"/>
    <w:rsid w:val="00223626"/>
    <w:rsid w:val="0022488C"/>
    <w:rsid w:val="002250DD"/>
    <w:rsid w:val="00227F11"/>
    <w:rsid w:val="002464B7"/>
    <w:rsid w:val="00246E99"/>
    <w:rsid w:val="00246FEC"/>
    <w:rsid w:val="00282C36"/>
    <w:rsid w:val="00296801"/>
    <w:rsid w:val="002D583F"/>
    <w:rsid w:val="002D66D4"/>
    <w:rsid w:val="002E7D99"/>
    <w:rsid w:val="002F5242"/>
    <w:rsid w:val="00324C41"/>
    <w:rsid w:val="0033417F"/>
    <w:rsid w:val="00341378"/>
    <w:rsid w:val="00376665"/>
    <w:rsid w:val="00377121"/>
    <w:rsid w:val="003A7C10"/>
    <w:rsid w:val="003C6190"/>
    <w:rsid w:val="00436A5A"/>
    <w:rsid w:val="00437199"/>
    <w:rsid w:val="00454E1D"/>
    <w:rsid w:val="00480F96"/>
    <w:rsid w:val="00486771"/>
    <w:rsid w:val="004B0CB8"/>
    <w:rsid w:val="004C4FDD"/>
    <w:rsid w:val="004C5E97"/>
    <w:rsid w:val="004E39AE"/>
    <w:rsid w:val="00503531"/>
    <w:rsid w:val="00520930"/>
    <w:rsid w:val="00524177"/>
    <w:rsid w:val="005478A4"/>
    <w:rsid w:val="005742B8"/>
    <w:rsid w:val="005A6182"/>
    <w:rsid w:val="005B708E"/>
    <w:rsid w:val="005E5A86"/>
    <w:rsid w:val="006047A4"/>
    <w:rsid w:val="0061088A"/>
    <w:rsid w:val="00613AE2"/>
    <w:rsid w:val="00613E9A"/>
    <w:rsid w:val="00697C43"/>
    <w:rsid w:val="006A261E"/>
    <w:rsid w:val="006B29D4"/>
    <w:rsid w:val="006F6204"/>
    <w:rsid w:val="006F7D8D"/>
    <w:rsid w:val="00707A15"/>
    <w:rsid w:val="007464A5"/>
    <w:rsid w:val="00757BFA"/>
    <w:rsid w:val="00776792"/>
    <w:rsid w:val="007A1DD8"/>
    <w:rsid w:val="007C4F87"/>
    <w:rsid w:val="0080312B"/>
    <w:rsid w:val="00825851"/>
    <w:rsid w:val="00846FCC"/>
    <w:rsid w:val="00852DA4"/>
    <w:rsid w:val="00860FA2"/>
    <w:rsid w:val="008D5950"/>
    <w:rsid w:val="008E35A6"/>
    <w:rsid w:val="008E5F2A"/>
    <w:rsid w:val="00902DA4"/>
    <w:rsid w:val="009175C9"/>
    <w:rsid w:val="0093561F"/>
    <w:rsid w:val="0095655B"/>
    <w:rsid w:val="00970F85"/>
    <w:rsid w:val="00986A6C"/>
    <w:rsid w:val="00986B42"/>
    <w:rsid w:val="009B092E"/>
    <w:rsid w:val="009E049D"/>
    <w:rsid w:val="009F7AFA"/>
    <w:rsid w:val="00A50E19"/>
    <w:rsid w:val="00A80161"/>
    <w:rsid w:val="00AD0187"/>
    <w:rsid w:val="00AE01C9"/>
    <w:rsid w:val="00AE4B9C"/>
    <w:rsid w:val="00B1561D"/>
    <w:rsid w:val="00B33886"/>
    <w:rsid w:val="00B37C46"/>
    <w:rsid w:val="00B4476E"/>
    <w:rsid w:val="00B70C4E"/>
    <w:rsid w:val="00B81065"/>
    <w:rsid w:val="00B85124"/>
    <w:rsid w:val="00B915D8"/>
    <w:rsid w:val="00BD345A"/>
    <w:rsid w:val="00BF207E"/>
    <w:rsid w:val="00BF7D0E"/>
    <w:rsid w:val="00C35FB5"/>
    <w:rsid w:val="00C47115"/>
    <w:rsid w:val="00C56513"/>
    <w:rsid w:val="00C64F67"/>
    <w:rsid w:val="00C678AD"/>
    <w:rsid w:val="00C96372"/>
    <w:rsid w:val="00CB2BA6"/>
    <w:rsid w:val="00CC2C56"/>
    <w:rsid w:val="00CE3053"/>
    <w:rsid w:val="00CE6227"/>
    <w:rsid w:val="00CF7BAD"/>
    <w:rsid w:val="00D062AD"/>
    <w:rsid w:val="00D15FF0"/>
    <w:rsid w:val="00D506E7"/>
    <w:rsid w:val="00D80D56"/>
    <w:rsid w:val="00D947DA"/>
    <w:rsid w:val="00DB6310"/>
    <w:rsid w:val="00DD73FD"/>
    <w:rsid w:val="00E47699"/>
    <w:rsid w:val="00E70BF1"/>
    <w:rsid w:val="00E93A9D"/>
    <w:rsid w:val="00E95B34"/>
    <w:rsid w:val="00EA4EBB"/>
    <w:rsid w:val="00EA7D02"/>
    <w:rsid w:val="00EE311F"/>
    <w:rsid w:val="00EE7443"/>
    <w:rsid w:val="00F30F93"/>
    <w:rsid w:val="00F4352B"/>
    <w:rsid w:val="00F43B09"/>
    <w:rsid w:val="00F56B24"/>
    <w:rsid w:val="00F705CE"/>
    <w:rsid w:val="00F77526"/>
    <w:rsid w:val="00FA33D7"/>
    <w:rsid w:val="00FB4DBA"/>
    <w:rsid w:val="00FB7E00"/>
    <w:rsid w:val="00FE6D67"/>
    <w:rsid w:val="00FF3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7"/>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D7"/>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LightShading1">
    <w:name w:val="Light Shading1"/>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5738">
      <w:bodyDiv w:val="1"/>
      <w:marLeft w:val="0"/>
      <w:marRight w:val="0"/>
      <w:marTop w:val="0"/>
      <w:marBottom w:val="0"/>
      <w:divBdr>
        <w:top w:val="none" w:sz="0" w:space="0" w:color="auto"/>
        <w:left w:val="none" w:sz="0" w:space="0" w:color="auto"/>
        <w:bottom w:val="none" w:sz="0" w:space="0" w:color="auto"/>
        <w:right w:val="none" w:sz="0" w:space="0" w:color="auto"/>
      </w:divBdr>
      <w:divsChild>
        <w:div w:id="611519402">
          <w:marLeft w:val="0"/>
          <w:marRight w:val="0"/>
          <w:marTop w:val="0"/>
          <w:marBottom w:val="0"/>
          <w:divBdr>
            <w:top w:val="none" w:sz="0" w:space="0" w:color="auto"/>
            <w:left w:val="none" w:sz="0" w:space="0" w:color="auto"/>
            <w:bottom w:val="none" w:sz="0" w:space="0" w:color="auto"/>
            <w:right w:val="none" w:sz="0" w:space="0" w:color="auto"/>
          </w:divBdr>
        </w:div>
        <w:div w:id="2111116844">
          <w:marLeft w:val="0"/>
          <w:marRight w:val="0"/>
          <w:marTop w:val="0"/>
          <w:marBottom w:val="0"/>
          <w:divBdr>
            <w:top w:val="none" w:sz="0" w:space="0" w:color="auto"/>
            <w:left w:val="none" w:sz="0" w:space="0" w:color="auto"/>
            <w:bottom w:val="none" w:sz="0" w:space="0" w:color="auto"/>
            <w:right w:val="none" w:sz="0" w:space="0" w:color="auto"/>
          </w:divBdr>
        </w:div>
      </w:divsChild>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009679312">
      <w:bodyDiv w:val="1"/>
      <w:marLeft w:val="0"/>
      <w:marRight w:val="0"/>
      <w:marTop w:val="0"/>
      <w:marBottom w:val="0"/>
      <w:divBdr>
        <w:top w:val="none" w:sz="0" w:space="0" w:color="auto"/>
        <w:left w:val="none" w:sz="0" w:space="0" w:color="auto"/>
        <w:bottom w:val="none" w:sz="0" w:space="0" w:color="auto"/>
        <w:right w:val="none" w:sz="0" w:space="0" w:color="auto"/>
      </w:divBdr>
    </w:div>
    <w:div w:id="1063718536">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01560848">
      <w:bodyDiv w:val="1"/>
      <w:marLeft w:val="0"/>
      <w:marRight w:val="0"/>
      <w:marTop w:val="0"/>
      <w:marBottom w:val="0"/>
      <w:divBdr>
        <w:top w:val="none" w:sz="0" w:space="0" w:color="auto"/>
        <w:left w:val="none" w:sz="0" w:space="0" w:color="auto"/>
        <w:bottom w:val="none" w:sz="0" w:space="0" w:color="auto"/>
        <w:right w:val="none" w:sz="0" w:space="0" w:color="auto"/>
      </w:divBdr>
    </w:div>
    <w:div w:id="1582791775">
      <w:bodyDiv w:val="1"/>
      <w:marLeft w:val="0"/>
      <w:marRight w:val="0"/>
      <w:marTop w:val="0"/>
      <w:marBottom w:val="0"/>
      <w:divBdr>
        <w:top w:val="none" w:sz="0" w:space="0" w:color="auto"/>
        <w:left w:val="none" w:sz="0" w:space="0" w:color="auto"/>
        <w:bottom w:val="none" w:sz="0" w:space="0" w:color="auto"/>
        <w:right w:val="none" w:sz="0" w:space="0" w:color="auto"/>
      </w:divBdr>
      <w:divsChild>
        <w:div w:id="1769620534">
          <w:marLeft w:val="0"/>
          <w:marRight w:val="0"/>
          <w:marTop w:val="0"/>
          <w:marBottom w:val="0"/>
          <w:divBdr>
            <w:top w:val="none" w:sz="0" w:space="0" w:color="auto"/>
            <w:left w:val="none" w:sz="0" w:space="0" w:color="auto"/>
            <w:bottom w:val="none" w:sz="0" w:space="0" w:color="auto"/>
            <w:right w:val="none" w:sz="0" w:space="0" w:color="auto"/>
          </w:divBdr>
        </w:div>
        <w:div w:id="2053381204">
          <w:marLeft w:val="0"/>
          <w:marRight w:val="0"/>
          <w:marTop w:val="0"/>
          <w:marBottom w:val="0"/>
          <w:divBdr>
            <w:top w:val="none" w:sz="0" w:space="0" w:color="auto"/>
            <w:left w:val="none" w:sz="0" w:space="0" w:color="auto"/>
            <w:bottom w:val="none" w:sz="0" w:space="0" w:color="auto"/>
            <w:right w:val="none" w:sz="0" w:space="0" w:color="auto"/>
          </w:divBdr>
        </w:div>
      </w:divsChild>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presentatives.jo/pdf/constitution_en.pdf" TargetMode="External"/><Relationship Id="rId18" Type="http://schemas.openxmlformats.org/officeDocument/2006/relationships/hyperlink" Target="http://www2.ohchr.org/english/bodies/hrcouncil/docs/19session/A.HRC.19.21.Add.4_English.pdf" TargetMode="External"/><Relationship Id="rId26" Type="http://schemas.openxmlformats.org/officeDocument/2006/relationships/hyperlink" Target="http://unhabitat.org/jordan/" TargetMode="External"/><Relationship Id="rId3" Type="http://schemas.openxmlformats.org/officeDocument/2006/relationships/styles" Target="styles.xml"/><Relationship Id="rId21" Type="http://schemas.openxmlformats.org/officeDocument/2006/relationships/hyperlink" Target="http://reliefweb.int/organization/unct-mozambique"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www.ohchr.org/EN/HRBodies/UPR/Pages/JOSession4.aspx" TargetMode="External"/><Relationship Id="rId25" Type="http://schemas.openxmlformats.org/officeDocument/2006/relationships/hyperlink" Target="http://unhabitat.org/nep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dicators.ohchr.org/" TargetMode="External"/><Relationship Id="rId20" Type="http://schemas.openxmlformats.org/officeDocument/2006/relationships/hyperlink" Target="http://undg.org/home/country-teams/arab-states/jordan/" TargetMode="External"/><Relationship Id="rId29" Type="http://schemas.openxmlformats.org/officeDocument/2006/relationships/hyperlink" Target="http://www.ohchr.org/EN/HRBodies/UPR/Pages/UPRMai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inform.gov.jo/Portals/0/Report%20PDFs/0.%20General/2013-2017%20United%20Nations%20Development%20Assistance%20Framework.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udc.gov.jo/en" TargetMode="External"/><Relationship Id="rId23" Type="http://schemas.openxmlformats.org/officeDocument/2006/relationships/hyperlink" Target="file:///C:/Users/habint577/Downloads/UNDAF%20Approved%20by%20Council%20Ministers%20FINAL%20ENG%2021%20Set11.pdf" TargetMode="External"/><Relationship Id="rId28" Type="http://schemas.openxmlformats.org/officeDocument/2006/relationships/hyperlink" Target="http://unhabitat.org/"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daccess-dds-ny.un.org/doc/UNDOC/GEN/G13/160/28/PDF/G1316028.pdf?OpenElemen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mpwh.gov.jo/Pages/WelcomePage.aspx" TargetMode="External"/><Relationship Id="rId22" Type="http://schemas.openxmlformats.org/officeDocument/2006/relationships/hyperlink" Target="http://un.org.np/reports/undaf-2013-2017" TargetMode="External"/><Relationship Id="rId27" Type="http://schemas.openxmlformats.org/officeDocument/2006/relationships/hyperlink" Target="http://www.ohchr.org/EN/Pages/WelcomePage.aspx" TargetMode="External"/><Relationship Id="rId30" Type="http://schemas.openxmlformats.org/officeDocument/2006/relationships/hyperlink" Target="http://www.ohchr.org/EN/Issues/Housing/Pages/HousingIndex.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habitat.org/jordan/" TargetMode="External"/><Relationship Id="rId1" Type="http://schemas.openxmlformats.org/officeDocument/2006/relationships/hyperlink" Target="http://reliefweb.int/organization/unct-mozamb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F00408C3-D243-4B25-A97F-82F86013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4</cp:revision>
  <cp:lastPrinted>2015-04-07T13:12:00Z</cp:lastPrinted>
  <dcterms:created xsi:type="dcterms:W3CDTF">2016-01-27T12:52:00Z</dcterms:created>
  <dcterms:modified xsi:type="dcterms:W3CDTF">2016-01-27T12:53:00Z</dcterms:modified>
</cp:coreProperties>
</file>