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C9150A" w:rsidRDefault="00014AAD" w:rsidP="00672DD2">
      <w:pPr>
        <w:jc w:val="center"/>
        <w:rPr>
          <w:b/>
          <w:sz w:val="48"/>
        </w:rPr>
      </w:pPr>
      <w:r>
        <w:rPr>
          <w:b/>
          <w:sz w:val="48"/>
        </w:rPr>
        <w:t>Iraq</w:t>
      </w:r>
    </w:p>
    <w:p w:rsidR="00251EAB" w:rsidRPr="00251EAB" w:rsidRDefault="00251EAB" w:rsidP="00251EAB">
      <w:pPr>
        <w:jc w:val="both"/>
        <w:rPr>
          <w:i/>
          <w:sz w:val="24"/>
          <w:szCs w:val="24"/>
        </w:rPr>
      </w:pPr>
      <w:r w:rsidRPr="00251EAB">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0B6900" w:rsidRPr="00B30588" w:rsidRDefault="00251EAB" w:rsidP="00251EAB">
      <w:pPr>
        <w:jc w:val="both"/>
        <w:rPr>
          <w:i/>
          <w:sz w:val="24"/>
          <w:szCs w:val="24"/>
        </w:rPr>
      </w:pPr>
      <w:r w:rsidRPr="00251EAB">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C36F99" w:rsidRPr="00F21E13" w:rsidRDefault="00C36F99" w:rsidP="000B6900">
      <w:pPr>
        <w:jc w:val="center"/>
      </w:pPr>
      <w:r>
        <w:t>Table of Contents</w:t>
      </w:r>
    </w:p>
    <w:tbl>
      <w:tblPr>
        <w:tblStyle w:val="LightShading1"/>
        <w:tblW w:w="9612" w:type="dxa"/>
        <w:tblLook w:val="04A0" w:firstRow="1" w:lastRow="0" w:firstColumn="1" w:lastColumn="0" w:noHBand="0" w:noVBand="1"/>
      </w:tblPr>
      <w:tblGrid>
        <w:gridCol w:w="8748"/>
        <w:gridCol w:w="864"/>
      </w:tblGrid>
      <w:tr w:rsidR="00C36F99" w:rsidRPr="00F21E13" w:rsidTr="008B3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pPr>
            <w:r w:rsidRPr="00F21E13">
              <w:t>Chapter</w:t>
            </w:r>
          </w:p>
        </w:tc>
        <w:tc>
          <w:tcPr>
            <w:tcW w:w="864" w:type="dxa"/>
            <w:vAlign w:val="center"/>
          </w:tcPr>
          <w:p w:rsidR="00C36F99" w:rsidRPr="00F21E13" w:rsidRDefault="00C36F99" w:rsidP="008B32C4">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Summary</w:t>
            </w:r>
          </w:p>
        </w:tc>
        <w:tc>
          <w:tcPr>
            <w:tcW w:w="864" w:type="dxa"/>
            <w:vAlign w:val="center"/>
          </w:tcPr>
          <w:p w:rsidR="00C36F99" w:rsidRPr="00F21E13" w:rsidRDefault="00C36F99" w:rsidP="008B32C4">
            <w:pPr>
              <w:jc w:val="both"/>
              <w:cnfStyle w:val="000000100000" w:firstRow="0" w:lastRow="0" w:firstColumn="0" w:lastColumn="0" w:oddVBand="0" w:evenVBand="0" w:oddHBand="1" w:evenHBand="0" w:firstRowFirstColumn="0" w:firstRowLastColumn="0" w:lastRowFirstColumn="0" w:lastRowLastColumn="0"/>
            </w:pPr>
            <w:r w:rsidRPr="00F21E13">
              <w:t>2</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National Legal Framework relating to Human Rights in Urban Contexts</w:t>
            </w:r>
          </w:p>
        </w:tc>
        <w:tc>
          <w:tcPr>
            <w:tcW w:w="864" w:type="dxa"/>
            <w:vAlign w:val="center"/>
          </w:tcPr>
          <w:p w:rsidR="00C36F99" w:rsidRPr="00F21E13" w:rsidRDefault="00C36F99" w:rsidP="008B32C4">
            <w:pPr>
              <w:jc w:val="both"/>
              <w:cnfStyle w:val="000000000000" w:firstRow="0" w:lastRow="0" w:firstColumn="0" w:lastColumn="0" w:oddVBand="0" w:evenVBand="0" w:oddHBand="0" w:evenHBand="0" w:firstRowFirstColumn="0" w:firstRowLastColumn="0" w:lastRowFirstColumn="0" w:lastRowLastColumn="0"/>
            </w:pPr>
            <w:r w:rsidRPr="00F21E13">
              <w:t>3</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Government Structures and Institutional Setup</w:t>
            </w:r>
          </w:p>
        </w:tc>
        <w:tc>
          <w:tcPr>
            <w:tcW w:w="864" w:type="dxa"/>
            <w:vAlign w:val="center"/>
          </w:tcPr>
          <w:p w:rsidR="00C36F99" w:rsidRPr="00F21E13" w:rsidRDefault="007B0566" w:rsidP="008B32C4">
            <w:pPr>
              <w:jc w:val="both"/>
              <w:cnfStyle w:val="000000100000" w:firstRow="0" w:lastRow="0" w:firstColumn="0" w:lastColumn="0" w:oddVBand="0" w:evenVBand="0" w:oddHBand="1" w:evenHBand="0" w:firstRowFirstColumn="0" w:firstRowLastColumn="0" w:lastRowFirstColumn="0" w:lastRowLastColumn="0"/>
            </w:pPr>
            <w:r>
              <w:t>3</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International Conventions</w:t>
            </w:r>
          </w:p>
        </w:tc>
        <w:tc>
          <w:tcPr>
            <w:tcW w:w="864" w:type="dxa"/>
            <w:vAlign w:val="center"/>
          </w:tcPr>
          <w:p w:rsidR="00C36F99" w:rsidRPr="00F21E13" w:rsidRDefault="00672DD2" w:rsidP="008B32C4">
            <w:pPr>
              <w:jc w:val="both"/>
              <w:cnfStyle w:val="000000000000" w:firstRow="0" w:lastRow="0" w:firstColumn="0" w:lastColumn="0" w:oddVBand="0" w:evenVBand="0" w:oddHBand="0" w:evenHBand="0" w:firstRowFirstColumn="0" w:firstRowLastColumn="0" w:lastRowFirstColumn="0" w:lastRowLastColumn="0"/>
            </w:pPr>
            <w:r>
              <w:t>5</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C36F99" w:rsidRPr="00F21E13" w:rsidRDefault="00672DD2" w:rsidP="008B32C4">
            <w:pPr>
              <w:jc w:val="both"/>
              <w:cnfStyle w:val="000000100000" w:firstRow="0" w:lastRow="0" w:firstColumn="0" w:lastColumn="0" w:oddVBand="0" w:evenVBand="0" w:oddHBand="1" w:evenHBand="0" w:firstRowFirstColumn="0" w:firstRowLastColumn="0" w:lastRowFirstColumn="0" w:lastRowLastColumn="0"/>
            </w:pPr>
            <w:r>
              <w:t>6</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Universal Periodic Review (UPR) and Human Rights Council</w:t>
            </w:r>
          </w:p>
        </w:tc>
        <w:tc>
          <w:tcPr>
            <w:tcW w:w="864" w:type="dxa"/>
            <w:vAlign w:val="center"/>
          </w:tcPr>
          <w:p w:rsidR="00C36F99" w:rsidRPr="00F21E13" w:rsidRDefault="00672DD2" w:rsidP="008B32C4">
            <w:pPr>
              <w:jc w:val="both"/>
              <w:cnfStyle w:val="000000000000" w:firstRow="0" w:lastRow="0" w:firstColumn="0" w:lastColumn="0" w:oddVBand="0" w:evenVBand="0" w:oddHBand="0" w:evenHBand="0" w:firstRowFirstColumn="0" w:firstRowLastColumn="0" w:lastRowFirstColumn="0" w:lastRowLastColumn="0"/>
            </w:pPr>
            <w:r>
              <w:t>6</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014AAD" w:rsidRDefault="00C36F99" w:rsidP="008B32C4">
            <w:pPr>
              <w:jc w:val="both"/>
              <w:rPr>
                <w:b w:val="0"/>
                <w:lang w:val="fr-FR"/>
              </w:rPr>
            </w:pPr>
            <w:r w:rsidRPr="00014AAD">
              <w:rPr>
                <w:b w:val="0"/>
                <w:lang w:val="fr-FR"/>
              </w:rPr>
              <w:t>UN-Habitat Engagement at Project Level</w:t>
            </w:r>
          </w:p>
        </w:tc>
        <w:tc>
          <w:tcPr>
            <w:tcW w:w="864" w:type="dxa"/>
            <w:vAlign w:val="center"/>
          </w:tcPr>
          <w:p w:rsidR="00C36F99" w:rsidRPr="00F21E13" w:rsidRDefault="00672DD2" w:rsidP="008B32C4">
            <w:pPr>
              <w:jc w:val="both"/>
              <w:cnfStyle w:val="000000100000" w:firstRow="0" w:lastRow="0" w:firstColumn="0" w:lastColumn="0" w:oddVBand="0" w:evenVBand="0" w:oddHBand="1" w:evenHBand="0" w:firstRowFirstColumn="0" w:firstRowLastColumn="0" w:lastRowFirstColumn="0" w:lastRowLastColumn="0"/>
            </w:pPr>
            <w:r>
              <w:t>8</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Further Information</w:t>
            </w:r>
          </w:p>
        </w:tc>
        <w:tc>
          <w:tcPr>
            <w:tcW w:w="864" w:type="dxa"/>
            <w:vAlign w:val="center"/>
          </w:tcPr>
          <w:p w:rsidR="00C36F99" w:rsidRPr="00F21E13" w:rsidRDefault="00DC01FD" w:rsidP="008B32C4">
            <w:pPr>
              <w:jc w:val="both"/>
              <w:cnfStyle w:val="000000000000" w:firstRow="0" w:lastRow="0" w:firstColumn="0" w:lastColumn="0" w:oddVBand="0" w:evenVBand="0" w:oddHBand="0" w:evenHBand="0" w:firstRowFirstColumn="0" w:firstRowLastColumn="0" w:lastRowFirstColumn="0" w:lastRowLastColumn="0"/>
            </w:pPr>
            <w:r>
              <w:t>11</w:t>
            </w:r>
          </w:p>
        </w:tc>
      </w:tr>
    </w:tbl>
    <w:p w:rsidR="00C36F99" w:rsidRPr="00CF7BAD" w:rsidRDefault="00C36F99" w:rsidP="00C36F99">
      <w:pPr>
        <w:pStyle w:val="ListParagraph"/>
        <w:rPr>
          <w:sz w:val="24"/>
          <w:szCs w:val="24"/>
        </w:rPr>
      </w:pPr>
    </w:p>
    <w:p w:rsidR="00C36F99" w:rsidRPr="00E70BF1" w:rsidRDefault="00C36F99" w:rsidP="00C36F99">
      <w:pPr>
        <w:jc w:val="center"/>
        <w:rPr>
          <w:b/>
          <w:sz w:val="24"/>
          <w:szCs w:val="24"/>
        </w:rPr>
      </w:pPr>
      <w:r w:rsidRPr="00E70BF1">
        <w:rPr>
          <w:b/>
          <w:sz w:val="24"/>
          <w:szCs w:val="24"/>
        </w:rPr>
        <w:t>Revision History</w:t>
      </w:r>
    </w:p>
    <w:tbl>
      <w:tblPr>
        <w:tblStyle w:val="LightList1"/>
        <w:tblW w:w="0" w:type="auto"/>
        <w:jc w:val="center"/>
        <w:tblLook w:val="04A0" w:firstRow="1" w:lastRow="0" w:firstColumn="1" w:lastColumn="0" w:noHBand="0" w:noVBand="1"/>
      </w:tblPr>
      <w:tblGrid>
        <w:gridCol w:w="3080"/>
        <w:gridCol w:w="3081"/>
        <w:gridCol w:w="3081"/>
      </w:tblGrid>
      <w:tr w:rsidR="00C36F99" w:rsidRPr="00E70BF1" w:rsidTr="008B32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E70BF1" w:rsidRDefault="00C36F99" w:rsidP="008B32C4">
            <w:pPr>
              <w:spacing w:line="276" w:lineRule="auto"/>
              <w:jc w:val="center"/>
            </w:pPr>
            <w:r w:rsidRPr="00E70BF1">
              <w:t>Rev</w:t>
            </w:r>
            <w:r>
              <w:t>i</w:t>
            </w:r>
            <w:r w:rsidRPr="00E70BF1">
              <w:t>sion</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C36F99"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DC01FD" w:rsidRDefault="00672DD2" w:rsidP="008B32C4">
            <w:pPr>
              <w:spacing w:line="276" w:lineRule="auto"/>
              <w:jc w:val="center"/>
              <w:rPr>
                <w:b w:val="0"/>
                <w:i/>
              </w:rPr>
            </w:pPr>
            <w:r w:rsidRPr="00DC01FD">
              <w:rPr>
                <w:b w:val="0"/>
                <w:i/>
              </w:rPr>
              <w:t>1</w:t>
            </w:r>
          </w:p>
        </w:tc>
        <w:tc>
          <w:tcPr>
            <w:tcW w:w="3081" w:type="dxa"/>
          </w:tcPr>
          <w:p w:rsidR="00C36F99" w:rsidRPr="00DC01FD" w:rsidRDefault="00672DD2"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DC01FD">
              <w:rPr>
                <w:i/>
              </w:rPr>
              <w:t>23</w:t>
            </w:r>
            <w:r w:rsidR="00C36F99" w:rsidRPr="00DC01FD">
              <w:rPr>
                <w:i/>
              </w:rPr>
              <w:t>/10/</w:t>
            </w:r>
            <w:r w:rsidR="001B7ADF">
              <w:rPr>
                <w:i/>
              </w:rPr>
              <w:t>20</w:t>
            </w:r>
            <w:r w:rsidR="00C36F99" w:rsidRPr="00DC01FD">
              <w:rPr>
                <w:i/>
              </w:rPr>
              <w:t>15</w:t>
            </w:r>
          </w:p>
        </w:tc>
        <w:tc>
          <w:tcPr>
            <w:tcW w:w="3081" w:type="dxa"/>
          </w:tcPr>
          <w:p w:rsidR="00C36F99" w:rsidRPr="00DC01FD" w:rsidRDefault="00C36F99"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DC01FD">
              <w:rPr>
                <w:i/>
              </w:rPr>
              <w:t>SN</w:t>
            </w:r>
          </w:p>
        </w:tc>
      </w:tr>
      <w:tr w:rsidR="00C36F99" w:rsidRPr="00AF309A" w:rsidTr="00DC01FD">
        <w:trPr>
          <w:trHeight w:val="287"/>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DC01FD" w:rsidRDefault="00AF309A" w:rsidP="008B32C4">
            <w:pPr>
              <w:spacing w:line="276" w:lineRule="auto"/>
              <w:jc w:val="center"/>
              <w:rPr>
                <w:b w:val="0"/>
                <w:i/>
              </w:rPr>
            </w:pPr>
            <w:r w:rsidRPr="00DC01FD">
              <w:rPr>
                <w:b w:val="0"/>
                <w:i/>
              </w:rPr>
              <w:t>2</w:t>
            </w:r>
          </w:p>
        </w:tc>
        <w:tc>
          <w:tcPr>
            <w:tcW w:w="3081" w:type="dxa"/>
          </w:tcPr>
          <w:p w:rsidR="00C36F99" w:rsidRPr="00DC01FD" w:rsidRDefault="00AF309A" w:rsidP="008B32C4">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sidRPr="00DC01FD">
              <w:rPr>
                <w:i/>
              </w:rPr>
              <w:t>12/11/</w:t>
            </w:r>
            <w:r w:rsidR="001B7ADF">
              <w:rPr>
                <w:i/>
              </w:rPr>
              <w:t>20</w:t>
            </w:r>
            <w:r w:rsidRPr="00DC01FD">
              <w:rPr>
                <w:i/>
              </w:rPr>
              <w:t>15</w:t>
            </w:r>
          </w:p>
        </w:tc>
        <w:tc>
          <w:tcPr>
            <w:tcW w:w="3081" w:type="dxa"/>
          </w:tcPr>
          <w:p w:rsidR="00C36F99" w:rsidRPr="00DC01FD" w:rsidRDefault="00AF309A" w:rsidP="00672DD2">
            <w:pPr>
              <w:spacing w:line="276" w:lineRule="auto"/>
              <w:cnfStyle w:val="000000000000" w:firstRow="0" w:lastRow="0" w:firstColumn="0" w:lastColumn="0" w:oddVBand="0" w:evenVBand="0" w:oddHBand="0" w:evenHBand="0" w:firstRowFirstColumn="0" w:firstRowLastColumn="0" w:lastRowFirstColumn="0" w:lastRowLastColumn="0"/>
              <w:rPr>
                <w:i/>
              </w:rPr>
            </w:pPr>
            <w:r w:rsidRPr="00DC01FD">
              <w:rPr>
                <w:i/>
              </w:rPr>
              <w:t xml:space="preserve">                          SN</w:t>
            </w:r>
          </w:p>
        </w:tc>
      </w:tr>
      <w:tr w:rsidR="00C36F99"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DC01FD" w:rsidRDefault="00DC01FD" w:rsidP="008B32C4">
            <w:pPr>
              <w:spacing w:line="276" w:lineRule="auto"/>
              <w:jc w:val="center"/>
              <w:rPr>
                <w:b w:val="0"/>
                <w:i/>
              </w:rPr>
            </w:pPr>
            <w:r w:rsidRPr="00DC01FD">
              <w:rPr>
                <w:b w:val="0"/>
                <w:i/>
              </w:rPr>
              <w:t>3</w:t>
            </w:r>
          </w:p>
        </w:tc>
        <w:tc>
          <w:tcPr>
            <w:tcW w:w="3081" w:type="dxa"/>
          </w:tcPr>
          <w:p w:rsidR="00C36F99" w:rsidRPr="00DC01FD" w:rsidRDefault="00DC01FD"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DC01FD">
              <w:rPr>
                <w:i/>
              </w:rPr>
              <w:t>27/11/</w:t>
            </w:r>
            <w:r w:rsidR="001B7ADF">
              <w:rPr>
                <w:i/>
              </w:rPr>
              <w:t>20</w:t>
            </w:r>
            <w:r w:rsidRPr="00DC01FD">
              <w:rPr>
                <w:i/>
              </w:rPr>
              <w:t>15</w:t>
            </w:r>
          </w:p>
        </w:tc>
        <w:tc>
          <w:tcPr>
            <w:tcW w:w="3081" w:type="dxa"/>
          </w:tcPr>
          <w:p w:rsidR="00C36F99" w:rsidRPr="00DC01FD" w:rsidRDefault="00FD13CC" w:rsidP="00DC01FD">
            <w:pPr>
              <w:spacing w:line="276" w:lineRule="auto"/>
              <w:cnfStyle w:val="000000100000" w:firstRow="0" w:lastRow="0" w:firstColumn="0" w:lastColumn="0" w:oddVBand="0" w:evenVBand="0" w:oddHBand="1" w:evenHBand="0" w:firstRowFirstColumn="0" w:firstRowLastColumn="0" w:lastRowFirstColumn="0" w:lastRowLastColumn="0"/>
              <w:rPr>
                <w:i/>
              </w:rPr>
            </w:pPr>
            <w:r>
              <w:rPr>
                <w:i/>
              </w:rPr>
              <w:t xml:space="preserve">                          </w:t>
            </w:r>
            <w:r w:rsidR="00DC01FD" w:rsidRPr="00DC01FD">
              <w:rPr>
                <w:i/>
              </w:rPr>
              <w:t>SN</w:t>
            </w:r>
          </w:p>
        </w:tc>
      </w:tr>
      <w:tr w:rsidR="000B6900" w:rsidTr="008B32C4">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0B6900" w:rsidRPr="00680185" w:rsidRDefault="000B6900" w:rsidP="008B32C4">
            <w:pPr>
              <w:jc w:val="center"/>
              <w:rPr>
                <w:b w:val="0"/>
                <w:i/>
              </w:rPr>
            </w:pPr>
            <w:r w:rsidRPr="00680185">
              <w:rPr>
                <w:b w:val="0"/>
                <w:i/>
              </w:rPr>
              <w:t>4</w:t>
            </w:r>
          </w:p>
        </w:tc>
        <w:tc>
          <w:tcPr>
            <w:tcW w:w="3081" w:type="dxa"/>
          </w:tcPr>
          <w:p w:rsidR="000B6900" w:rsidRPr="00DC01FD" w:rsidRDefault="00FD13CC" w:rsidP="008B32C4">
            <w:pPr>
              <w:jc w:val="center"/>
              <w:cnfStyle w:val="000000000000" w:firstRow="0" w:lastRow="0" w:firstColumn="0" w:lastColumn="0" w:oddVBand="0" w:evenVBand="0" w:oddHBand="0" w:evenHBand="0" w:firstRowFirstColumn="0" w:firstRowLastColumn="0" w:lastRowFirstColumn="0" w:lastRowLastColumn="0"/>
              <w:rPr>
                <w:i/>
              </w:rPr>
            </w:pPr>
            <w:r>
              <w:rPr>
                <w:i/>
              </w:rPr>
              <w:t>09/12/</w:t>
            </w:r>
            <w:r w:rsidR="001B7ADF">
              <w:rPr>
                <w:i/>
              </w:rPr>
              <w:t>20</w:t>
            </w:r>
            <w:r>
              <w:rPr>
                <w:i/>
              </w:rPr>
              <w:t>15</w:t>
            </w:r>
          </w:p>
        </w:tc>
        <w:tc>
          <w:tcPr>
            <w:tcW w:w="3081" w:type="dxa"/>
          </w:tcPr>
          <w:p w:rsidR="00CD6B7B" w:rsidRPr="00DC01FD" w:rsidRDefault="00FD13CC" w:rsidP="00DC01FD">
            <w:pPr>
              <w:cnfStyle w:val="000000000000" w:firstRow="0" w:lastRow="0" w:firstColumn="0" w:lastColumn="0" w:oddVBand="0" w:evenVBand="0" w:oddHBand="0" w:evenHBand="0" w:firstRowFirstColumn="0" w:firstRowLastColumn="0" w:lastRowFirstColumn="0" w:lastRowLastColumn="0"/>
              <w:rPr>
                <w:i/>
              </w:rPr>
            </w:pPr>
            <w:r>
              <w:rPr>
                <w:i/>
              </w:rPr>
              <w:t xml:space="preserve">                          SN</w:t>
            </w:r>
          </w:p>
        </w:tc>
      </w:tr>
      <w:tr w:rsidR="00CD6B7B"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D6B7B" w:rsidRPr="00680185" w:rsidRDefault="00CD6B7B" w:rsidP="008B32C4">
            <w:pPr>
              <w:jc w:val="center"/>
              <w:rPr>
                <w:b w:val="0"/>
                <w:i/>
              </w:rPr>
            </w:pPr>
            <w:r w:rsidRPr="00680185">
              <w:rPr>
                <w:b w:val="0"/>
                <w:i/>
              </w:rPr>
              <w:t>5</w:t>
            </w:r>
          </w:p>
        </w:tc>
        <w:tc>
          <w:tcPr>
            <w:tcW w:w="3081" w:type="dxa"/>
          </w:tcPr>
          <w:p w:rsidR="00CD6B7B" w:rsidRDefault="00CD6B7B" w:rsidP="008B32C4">
            <w:pPr>
              <w:jc w:val="center"/>
              <w:cnfStyle w:val="000000100000" w:firstRow="0" w:lastRow="0" w:firstColumn="0" w:lastColumn="0" w:oddVBand="0" w:evenVBand="0" w:oddHBand="1" w:evenHBand="0" w:firstRowFirstColumn="0" w:firstRowLastColumn="0" w:lastRowFirstColumn="0" w:lastRowLastColumn="0"/>
              <w:rPr>
                <w:i/>
              </w:rPr>
            </w:pPr>
            <w:r>
              <w:rPr>
                <w:i/>
              </w:rPr>
              <w:t>18/01/</w:t>
            </w:r>
            <w:r w:rsidR="001B7ADF">
              <w:rPr>
                <w:i/>
              </w:rPr>
              <w:t>20</w:t>
            </w:r>
            <w:r>
              <w:rPr>
                <w:i/>
              </w:rPr>
              <w:t>16</w:t>
            </w:r>
          </w:p>
        </w:tc>
        <w:tc>
          <w:tcPr>
            <w:tcW w:w="3081" w:type="dxa"/>
          </w:tcPr>
          <w:p w:rsidR="00CD6B7B" w:rsidRDefault="00CD6B7B" w:rsidP="00DC01FD">
            <w:pPr>
              <w:cnfStyle w:val="000000100000" w:firstRow="0" w:lastRow="0" w:firstColumn="0" w:lastColumn="0" w:oddVBand="0" w:evenVBand="0" w:oddHBand="1" w:evenHBand="0" w:firstRowFirstColumn="0" w:firstRowLastColumn="0" w:lastRowFirstColumn="0" w:lastRowLastColumn="0"/>
              <w:rPr>
                <w:i/>
              </w:rPr>
            </w:pPr>
            <w:r>
              <w:rPr>
                <w:i/>
              </w:rPr>
              <w:t xml:space="preserve">                          SN</w:t>
            </w:r>
          </w:p>
        </w:tc>
      </w:tr>
      <w:tr w:rsidR="001B7ADF" w:rsidTr="008B32C4">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1B7ADF" w:rsidRPr="00680185" w:rsidRDefault="001B7ADF" w:rsidP="008B32C4">
            <w:pPr>
              <w:jc w:val="center"/>
              <w:rPr>
                <w:b w:val="0"/>
                <w:i/>
              </w:rPr>
            </w:pPr>
            <w:r w:rsidRPr="00680185">
              <w:rPr>
                <w:b w:val="0"/>
                <w:i/>
              </w:rPr>
              <w:t>6</w:t>
            </w:r>
          </w:p>
        </w:tc>
        <w:tc>
          <w:tcPr>
            <w:tcW w:w="3081" w:type="dxa"/>
          </w:tcPr>
          <w:p w:rsidR="001B7ADF" w:rsidRPr="001B7ADF" w:rsidRDefault="001B7ADF" w:rsidP="008B32C4">
            <w:pPr>
              <w:jc w:val="center"/>
              <w:cnfStyle w:val="000000000000" w:firstRow="0" w:lastRow="0" w:firstColumn="0" w:lastColumn="0" w:oddVBand="0" w:evenVBand="0" w:oddHBand="0" w:evenHBand="0" w:firstRowFirstColumn="0" w:firstRowLastColumn="0" w:lastRowFirstColumn="0" w:lastRowLastColumn="0"/>
              <w:rPr>
                <w:i/>
              </w:rPr>
            </w:pPr>
            <w:r>
              <w:rPr>
                <w:i/>
              </w:rPr>
              <w:t>25/01/2016</w:t>
            </w:r>
          </w:p>
        </w:tc>
        <w:tc>
          <w:tcPr>
            <w:tcW w:w="3081" w:type="dxa"/>
          </w:tcPr>
          <w:p w:rsidR="001B7ADF" w:rsidRPr="001B7ADF" w:rsidRDefault="001B7ADF" w:rsidP="00DC01FD">
            <w:pPr>
              <w:cnfStyle w:val="000000000000" w:firstRow="0" w:lastRow="0" w:firstColumn="0" w:lastColumn="0" w:oddVBand="0" w:evenVBand="0" w:oddHBand="0" w:evenHBand="0" w:firstRowFirstColumn="0" w:firstRowLastColumn="0" w:lastRowFirstColumn="0" w:lastRowLastColumn="0"/>
              <w:rPr>
                <w:i/>
              </w:rPr>
            </w:pPr>
            <w:r>
              <w:rPr>
                <w:i/>
              </w:rPr>
              <w:t xml:space="preserve">                          SG</w:t>
            </w:r>
          </w:p>
        </w:tc>
      </w:tr>
    </w:tbl>
    <w:p w:rsidR="00C36F99" w:rsidRDefault="00C36F99" w:rsidP="00C36F99">
      <w:pPr>
        <w:rPr>
          <w:b/>
        </w:rPr>
      </w:pPr>
      <w:r>
        <w:rPr>
          <w:b/>
        </w:rPr>
        <w:br w:type="page"/>
      </w:r>
    </w:p>
    <w:p w:rsidR="00766DF2" w:rsidRDefault="00707A15" w:rsidP="00766DF2">
      <w:pPr>
        <w:rPr>
          <w:b/>
          <w:sz w:val="32"/>
        </w:rPr>
      </w:pPr>
      <w:r w:rsidRPr="00707A15">
        <w:rPr>
          <w:b/>
          <w:sz w:val="32"/>
        </w:rPr>
        <w:lastRenderedPageBreak/>
        <w:t>Summary</w:t>
      </w:r>
    </w:p>
    <w:p w:rsidR="00B95519" w:rsidRDefault="00AF309A" w:rsidP="00B95519">
      <w:pPr>
        <w:jc w:val="both"/>
        <w:rPr>
          <w:rFonts w:cstheme="minorHAnsi"/>
        </w:rPr>
      </w:pPr>
      <w:r>
        <w:rPr>
          <w:rFonts w:cstheme="minorHAnsi"/>
        </w:rPr>
        <w:t xml:space="preserve">Iraq is </w:t>
      </w:r>
      <w:r w:rsidR="008663B2" w:rsidRPr="008663B2">
        <w:rPr>
          <w:rFonts w:cstheme="minorHAnsi"/>
        </w:rPr>
        <w:t>govern</w:t>
      </w:r>
      <w:r>
        <w:rPr>
          <w:rFonts w:cstheme="minorHAnsi"/>
        </w:rPr>
        <w:t xml:space="preserve">ed under its 2005 Constitution. </w:t>
      </w:r>
      <w:r w:rsidR="008663B2">
        <w:rPr>
          <w:rFonts w:cstheme="minorHAnsi"/>
        </w:rPr>
        <w:t xml:space="preserve">Though the right to adequate housing is not expressly </w:t>
      </w:r>
      <w:r w:rsidR="00AA50E2">
        <w:rPr>
          <w:rFonts w:cstheme="minorHAnsi"/>
        </w:rPr>
        <w:t xml:space="preserve">enshrined </w:t>
      </w:r>
      <w:r w:rsidR="008663B2">
        <w:rPr>
          <w:rFonts w:cstheme="minorHAnsi"/>
        </w:rPr>
        <w:t>in the Constitution, there are provisions that guarantee</w:t>
      </w:r>
      <w:r w:rsidR="008663B2" w:rsidRPr="008663B2">
        <w:rPr>
          <w:rFonts w:cstheme="minorHAnsi"/>
        </w:rPr>
        <w:t xml:space="preserve"> Iraqi citizens basic requirements for free and decent living. The Constitution also guarantees all citizens, especially the sick, older adults, orphans, homeless, women and children, appropriate housing</w:t>
      </w:r>
      <w:r w:rsidR="008663B2">
        <w:rPr>
          <w:rFonts w:cstheme="minorHAnsi"/>
        </w:rPr>
        <w:t>.</w:t>
      </w:r>
      <w:r w:rsidR="00766DF2">
        <w:rPr>
          <w:rFonts w:cstheme="minorHAnsi"/>
        </w:rPr>
        <w:t xml:space="preserve"> </w:t>
      </w:r>
    </w:p>
    <w:p w:rsidR="00766DF2" w:rsidRPr="00766DF2" w:rsidRDefault="00B95519" w:rsidP="00B95519">
      <w:pPr>
        <w:jc w:val="both"/>
        <w:rPr>
          <w:b/>
          <w:sz w:val="32"/>
        </w:rPr>
      </w:pPr>
      <w:r>
        <w:rPr>
          <w:rFonts w:cstheme="minorHAnsi"/>
        </w:rPr>
        <w:t xml:space="preserve">The Kurdistan Region is autonomous </w:t>
      </w:r>
      <w:r w:rsidR="00BC5408">
        <w:rPr>
          <w:rFonts w:cstheme="minorHAnsi"/>
        </w:rPr>
        <w:t xml:space="preserve">region in the northern part of Iraq </w:t>
      </w:r>
      <w:r>
        <w:rPr>
          <w:rFonts w:cstheme="minorHAnsi"/>
        </w:rPr>
        <w:t>and is governed by the Kurdistan Regional Government.</w:t>
      </w:r>
      <w:r w:rsidR="00AA50E2" w:rsidRPr="00AA50E2">
        <w:rPr>
          <w:rFonts w:cstheme="minorHAnsi"/>
        </w:rPr>
        <w:t xml:space="preserve"> </w:t>
      </w:r>
      <w:r w:rsidR="00AA50E2">
        <w:rPr>
          <w:rFonts w:cstheme="minorHAnsi"/>
        </w:rPr>
        <w:t>The Draft Constitution of the Kurdish Regional Government also provides for the right to an adequate standard of living.</w:t>
      </w:r>
    </w:p>
    <w:p w:rsidR="00E153C5" w:rsidRDefault="00AA50E2" w:rsidP="000E0238">
      <w:pPr>
        <w:jc w:val="both"/>
        <w:rPr>
          <w:rFonts w:cstheme="minorHAnsi"/>
        </w:rPr>
      </w:pPr>
      <w:r>
        <w:rPr>
          <w:rFonts w:cstheme="minorHAnsi"/>
        </w:rPr>
        <w:t>T</w:t>
      </w:r>
      <w:r w:rsidR="00B95519">
        <w:rPr>
          <w:rFonts w:cstheme="minorHAnsi"/>
        </w:rPr>
        <w:t xml:space="preserve">he </w:t>
      </w:r>
      <w:r w:rsidR="008663B2">
        <w:rPr>
          <w:rFonts w:cstheme="minorHAnsi"/>
        </w:rPr>
        <w:t>Iraq</w:t>
      </w:r>
      <w:r w:rsidR="00B95519">
        <w:rPr>
          <w:rFonts w:cstheme="minorHAnsi"/>
        </w:rPr>
        <w:t>i Government</w:t>
      </w:r>
      <w:r w:rsidR="008663B2">
        <w:rPr>
          <w:rFonts w:cstheme="minorHAnsi"/>
        </w:rPr>
        <w:t xml:space="preserve"> has a National Housing Policy</w:t>
      </w:r>
      <w:r w:rsidR="000E0238" w:rsidRPr="000E0238">
        <w:rPr>
          <w:rFonts w:cstheme="minorHAnsi"/>
        </w:rPr>
        <w:t>.</w:t>
      </w:r>
      <w:r w:rsidR="008663B2">
        <w:rPr>
          <w:rFonts w:cstheme="minorHAnsi"/>
        </w:rPr>
        <w:t xml:space="preserve"> The Policy was developed with the aim of improving the state of housing and urbanization in Iraq. </w:t>
      </w:r>
      <w:r w:rsidR="00E153C5">
        <w:rPr>
          <w:rFonts w:cstheme="minorHAnsi"/>
        </w:rPr>
        <w:t>The relevant institution for the implementation of the right to adequate housing is the Ministry of Construction and Housing, whose major contribution was the formulation of the National Housing Policy.</w:t>
      </w:r>
    </w:p>
    <w:p w:rsidR="000E0238" w:rsidRPr="000E0238" w:rsidRDefault="008663B2" w:rsidP="000E0238">
      <w:pPr>
        <w:jc w:val="both"/>
        <w:rPr>
          <w:rFonts w:cstheme="minorHAnsi"/>
        </w:rPr>
      </w:pPr>
      <w:r>
        <w:rPr>
          <w:rFonts w:cstheme="minorHAnsi"/>
        </w:rPr>
        <w:t xml:space="preserve">Iraq </w:t>
      </w:r>
      <w:r w:rsidR="000E0238" w:rsidRPr="000E0238">
        <w:rPr>
          <w:rFonts w:cstheme="minorHAnsi"/>
        </w:rPr>
        <w:t>has ratified the International Covenant on Economic, Social and Cultural Rights, which includes the right to adequate housing as a component of the right to an adequate standard of living.</w:t>
      </w:r>
      <w:r w:rsidR="00AA50E2">
        <w:rPr>
          <w:rFonts w:cstheme="minorHAnsi"/>
        </w:rPr>
        <w:t xml:space="preserve"> </w:t>
      </w:r>
      <w:r w:rsidR="00AA50E2">
        <w:rPr>
          <w:rFonts w:eastAsia="Times New Roman" w:cstheme="minorHAnsi"/>
          <w:color w:val="000000"/>
          <w:lang w:eastAsia="en-AU"/>
        </w:rPr>
        <w:t>Iraq has</w:t>
      </w:r>
      <w:r w:rsidR="00AA50E2">
        <w:rPr>
          <w:rFonts w:eastAsia="Times New Roman" w:cstheme="minorHAnsi"/>
          <w:color w:val="000000"/>
          <w:lang w:eastAsia="en-AU"/>
        </w:rPr>
        <w:t xml:space="preserve"> also</w:t>
      </w:r>
      <w:r w:rsidR="00AA50E2">
        <w:rPr>
          <w:rFonts w:eastAsia="Times New Roman" w:cstheme="minorHAnsi"/>
          <w:color w:val="000000"/>
          <w:lang w:eastAsia="en-AU"/>
        </w:rPr>
        <w:t xml:space="preserve"> ratified </w:t>
      </w:r>
      <w:r w:rsidR="00AA50E2">
        <w:rPr>
          <w:rFonts w:eastAsia="Times New Roman" w:cstheme="minorHAnsi"/>
          <w:color w:val="000000"/>
          <w:lang w:eastAsia="en-AU"/>
        </w:rPr>
        <w:t>most</w:t>
      </w:r>
      <w:r w:rsidR="00AA50E2">
        <w:rPr>
          <w:rFonts w:eastAsia="Times New Roman" w:cstheme="minorHAnsi"/>
          <w:color w:val="000000"/>
          <w:lang w:eastAsia="en-AU"/>
        </w:rPr>
        <w:t xml:space="preserve"> of the </w:t>
      </w:r>
      <w:r w:rsidR="00AA50E2">
        <w:rPr>
          <w:rFonts w:eastAsia="Times New Roman" w:cstheme="minorHAnsi"/>
          <w:color w:val="000000"/>
          <w:lang w:eastAsia="en-AU"/>
        </w:rPr>
        <w:t xml:space="preserve">other </w:t>
      </w:r>
      <w:r w:rsidR="00AA50E2">
        <w:rPr>
          <w:rFonts w:eastAsia="Times New Roman" w:cstheme="minorHAnsi"/>
          <w:color w:val="000000"/>
          <w:lang w:eastAsia="en-AU"/>
        </w:rPr>
        <w:t>major human rights conventions</w:t>
      </w:r>
      <w:r w:rsidR="00AA50E2">
        <w:rPr>
          <w:rFonts w:eastAsia="Times New Roman" w:cstheme="minorHAnsi"/>
          <w:color w:val="000000"/>
          <w:lang w:eastAsia="en-AU"/>
        </w:rPr>
        <w:t>.</w:t>
      </w:r>
    </w:p>
    <w:p w:rsidR="000E0238" w:rsidRDefault="000E0238" w:rsidP="000E0238">
      <w:pPr>
        <w:jc w:val="both"/>
        <w:rPr>
          <w:rFonts w:cstheme="minorHAnsi"/>
        </w:rPr>
      </w:pPr>
      <w:r w:rsidRPr="000E0238">
        <w:rPr>
          <w:rFonts w:cstheme="minorHAnsi"/>
        </w:rPr>
        <w:t xml:space="preserve">United Nations review mechanisms have generally given positive feedback on the continual pursuit of improved housing, although have noted the restricted access that </w:t>
      </w:r>
      <w:r w:rsidR="00680185">
        <w:rPr>
          <w:rFonts w:cstheme="minorHAnsi"/>
        </w:rPr>
        <w:t xml:space="preserve">certain </w:t>
      </w:r>
      <w:r w:rsidRPr="000E0238">
        <w:rPr>
          <w:rFonts w:cstheme="minorHAnsi"/>
        </w:rPr>
        <w:t xml:space="preserve">minority groups have to </w:t>
      </w:r>
      <w:r w:rsidR="00680185">
        <w:rPr>
          <w:rFonts w:cstheme="minorHAnsi"/>
        </w:rPr>
        <w:t xml:space="preserve">adequate </w:t>
      </w:r>
      <w:r w:rsidRPr="000E0238">
        <w:rPr>
          <w:rFonts w:cstheme="minorHAnsi"/>
        </w:rPr>
        <w:t>housing. UN-Habitat has worked on a number of projects in</w:t>
      </w:r>
      <w:r w:rsidR="008663B2">
        <w:rPr>
          <w:rFonts w:cstheme="minorHAnsi"/>
        </w:rPr>
        <w:t xml:space="preserve"> </w:t>
      </w:r>
      <w:r w:rsidR="000B6900">
        <w:rPr>
          <w:rFonts w:cstheme="minorHAnsi"/>
        </w:rPr>
        <w:t>Iraq</w:t>
      </w:r>
      <w:r w:rsidR="008663B2">
        <w:rPr>
          <w:rFonts w:cstheme="minorHAnsi"/>
        </w:rPr>
        <w:t>.</w:t>
      </w:r>
      <w:bookmarkStart w:id="0" w:name="_GoBack"/>
      <w:bookmarkEnd w:id="0"/>
    </w:p>
    <w:p w:rsidR="00860FA2" w:rsidRDefault="00860FA2" w:rsidP="000E0238">
      <w:pPr>
        <w:jc w:val="both"/>
        <w:rPr>
          <w:rFonts w:eastAsia="Times New Roman" w:cstheme="minorHAnsi"/>
          <w:color w:val="000000"/>
          <w:lang w:eastAsia="en-AU"/>
        </w:rPr>
      </w:pPr>
    </w:p>
    <w:p w:rsidR="0080312B" w:rsidRDefault="0080312B" w:rsidP="002250DD">
      <w:pPr>
        <w:rPr>
          <w:b/>
        </w:rPr>
      </w:pPr>
      <w:r>
        <w:rPr>
          <w:b/>
        </w:rPr>
        <w:br w:type="page"/>
      </w:r>
    </w:p>
    <w:p w:rsidR="002E7D99" w:rsidRPr="00437199" w:rsidRDefault="0080312B" w:rsidP="002250DD">
      <w:pPr>
        <w:rPr>
          <w:b/>
          <w:sz w:val="28"/>
        </w:rPr>
      </w:pPr>
      <w:r w:rsidRPr="00437199">
        <w:rPr>
          <w:b/>
          <w:sz w:val="28"/>
        </w:rPr>
        <w:lastRenderedPageBreak/>
        <w:t>Legal Framework</w:t>
      </w:r>
    </w:p>
    <w:p w:rsidR="00723BCB" w:rsidRDefault="0080312B" w:rsidP="00723BCB">
      <w:pPr>
        <w:rPr>
          <w:b/>
          <w:i/>
        </w:rPr>
      </w:pPr>
      <w:r w:rsidRPr="00437199">
        <w:rPr>
          <w:b/>
          <w:i/>
        </w:rPr>
        <w:t>Constitution</w:t>
      </w:r>
      <w:r w:rsidR="00BF207E">
        <w:rPr>
          <w:rStyle w:val="FootnoteReference"/>
          <w:b/>
          <w:i/>
        </w:rPr>
        <w:footnoteReference w:id="1"/>
      </w:r>
    </w:p>
    <w:p w:rsidR="0005607A" w:rsidRDefault="00AF309A" w:rsidP="00723BCB">
      <w:pPr>
        <w:rPr>
          <w:rFonts w:cstheme="minorHAnsi"/>
        </w:rPr>
      </w:pPr>
      <w:r>
        <w:rPr>
          <w:rFonts w:cstheme="minorHAnsi"/>
        </w:rPr>
        <w:t>Iraq is</w:t>
      </w:r>
      <w:r w:rsidR="008663B2">
        <w:rPr>
          <w:rFonts w:cstheme="minorHAnsi"/>
        </w:rPr>
        <w:t xml:space="preserve"> governed under its 2005 Constitution</w:t>
      </w:r>
      <w:r>
        <w:rPr>
          <w:rFonts w:cstheme="minorHAnsi"/>
        </w:rPr>
        <w:t xml:space="preserve"> which</w:t>
      </w:r>
      <w:r w:rsidR="008663B2">
        <w:rPr>
          <w:rFonts w:cstheme="minorHAnsi"/>
        </w:rPr>
        <w:t xml:space="preserve"> guarantees Iraqi citizens basic requirements for free and decent living.  </w:t>
      </w:r>
    </w:p>
    <w:p w:rsidR="00723BCB" w:rsidRDefault="00723BCB" w:rsidP="00723BCB">
      <w:pPr>
        <w:rPr>
          <w:rFonts w:cstheme="minorHAnsi"/>
        </w:rPr>
      </w:pPr>
      <w:r>
        <w:rPr>
          <w:rFonts w:cstheme="minorHAnsi"/>
        </w:rPr>
        <w:t>‘</w:t>
      </w:r>
      <w:r w:rsidRPr="00723BCB">
        <w:rPr>
          <w:rFonts w:cstheme="minorHAnsi"/>
        </w:rPr>
        <w:t xml:space="preserve">Article 30: </w:t>
      </w:r>
    </w:p>
    <w:p w:rsidR="00723BCB" w:rsidRPr="00723BCB" w:rsidRDefault="00723BCB" w:rsidP="00723BCB">
      <w:pPr>
        <w:rPr>
          <w:b/>
          <w:i/>
        </w:rPr>
      </w:pPr>
      <w:r w:rsidRPr="00723BCB">
        <w:rPr>
          <w:rFonts w:cstheme="minorHAnsi"/>
        </w:rPr>
        <w:t xml:space="preserve">First: The State shall guarantee to the individual and the family - especially children and women – social and health security, the basic requirements for living a free and decent life, and shall secure for them suitable income and appropriate housing. </w:t>
      </w:r>
    </w:p>
    <w:p w:rsidR="000E0238" w:rsidRDefault="00723BCB" w:rsidP="000E0238">
      <w:pPr>
        <w:jc w:val="both"/>
        <w:rPr>
          <w:rFonts w:cstheme="minorHAnsi"/>
        </w:rPr>
      </w:pPr>
      <w:r w:rsidRPr="00723BCB">
        <w:rPr>
          <w:rFonts w:cstheme="minorHAnsi"/>
        </w:rPr>
        <w:t>Second: The State shall guarantee social and health security to Iraqis in cases of old age, sickness, employment disability, homelessness, orphanhood, or unemployment, shall work to protect them from ignorance, fear and poverty, and shall provide them housing and special programs of care and rehabilitation, and this shall be regulated by law.</w:t>
      </w:r>
      <w:r>
        <w:rPr>
          <w:rFonts w:cstheme="minorHAnsi"/>
        </w:rPr>
        <w:t>’</w:t>
      </w:r>
    </w:p>
    <w:p w:rsidR="00B95519" w:rsidRDefault="00B95519" w:rsidP="000E0238">
      <w:pPr>
        <w:jc w:val="both"/>
        <w:rPr>
          <w:rFonts w:cstheme="minorHAnsi"/>
        </w:rPr>
      </w:pPr>
      <w:r>
        <w:rPr>
          <w:rFonts w:cstheme="minorHAnsi"/>
        </w:rPr>
        <w:t>The Kurdistan Regional Government has a draft constitution which provides for the right to adequate standard of living.</w:t>
      </w:r>
      <w:r>
        <w:rPr>
          <w:rStyle w:val="FootnoteReference"/>
          <w:rFonts w:cstheme="minorHAnsi"/>
        </w:rPr>
        <w:footnoteReference w:id="2"/>
      </w:r>
      <w:r>
        <w:rPr>
          <w:rFonts w:cstheme="minorHAnsi"/>
        </w:rPr>
        <w:t xml:space="preserve"> </w:t>
      </w:r>
    </w:p>
    <w:p w:rsidR="00B95519" w:rsidRPr="00DC01FD" w:rsidRDefault="00DC01FD" w:rsidP="00B95519">
      <w:pPr>
        <w:jc w:val="both"/>
        <w:rPr>
          <w:rFonts w:cstheme="minorHAnsi"/>
          <w:bCs/>
          <w:iCs/>
          <w:lang w:val="en-US"/>
        </w:rPr>
      </w:pPr>
      <w:r>
        <w:rPr>
          <w:rFonts w:cstheme="minorHAnsi"/>
          <w:bCs/>
          <w:iCs/>
          <w:lang w:val="en-US"/>
        </w:rPr>
        <w:t>‘</w:t>
      </w:r>
      <w:r w:rsidR="00B95519" w:rsidRPr="00DC01FD">
        <w:rPr>
          <w:rFonts w:cstheme="minorHAnsi"/>
          <w:bCs/>
          <w:iCs/>
          <w:lang w:val="en-US"/>
        </w:rPr>
        <w:t>Article 24:</w:t>
      </w:r>
    </w:p>
    <w:p w:rsidR="00B95519" w:rsidRPr="00B95519" w:rsidRDefault="00B95519" w:rsidP="00B95519">
      <w:pPr>
        <w:jc w:val="both"/>
        <w:rPr>
          <w:rFonts w:cstheme="minorHAnsi"/>
          <w:lang w:val="en-US"/>
        </w:rPr>
      </w:pPr>
      <w:r w:rsidRPr="00BC5408">
        <w:rPr>
          <w:rFonts w:cstheme="minorHAnsi"/>
          <w:bCs/>
          <w:lang w:val="en-US"/>
        </w:rPr>
        <w:t>First</w:t>
      </w:r>
      <w:r w:rsidRPr="00B95519">
        <w:rPr>
          <w:rFonts w:cstheme="minorHAnsi"/>
          <w:lang w:val="en-US"/>
        </w:rPr>
        <w:t>: Everyone shall have the right to a standard of living adequate for a dignified life, including food, clothing and housing.</w:t>
      </w:r>
      <w:r w:rsidR="00DC01FD">
        <w:rPr>
          <w:rFonts w:cstheme="minorHAnsi"/>
          <w:lang w:val="en-US"/>
        </w:rPr>
        <w:t>’</w:t>
      </w:r>
    </w:p>
    <w:p w:rsidR="002E7D99" w:rsidRPr="00437199" w:rsidRDefault="002E7D99" w:rsidP="00670A70">
      <w:pPr>
        <w:jc w:val="both"/>
        <w:rPr>
          <w:b/>
          <w:sz w:val="28"/>
        </w:rPr>
      </w:pPr>
      <w:r w:rsidRPr="00437199">
        <w:rPr>
          <w:b/>
          <w:sz w:val="28"/>
        </w:rPr>
        <w:t>Government</w:t>
      </w:r>
    </w:p>
    <w:p w:rsidR="00437199" w:rsidRDefault="0080312B" w:rsidP="00670A70">
      <w:pPr>
        <w:jc w:val="both"/>
        <w:rPr>
          <w:b/>
          <w:i/>
        </w:rPr>
      </w:pPr>
      <w:r w:rsidRPr="00437199">
        <w:rPr>
          <w:b/>
          <w:i/>
        </w:rPr>
        <w:t xml:space="preserve">Political System </w:t>
      </w:r>
    </w:p>
    <w:p w:rsidR="00E739DA" w:rsidRDefault="00E908CF" w:rsidP="00A9571E">
      <w:pPr>
        <w:jc w:val="both"/>
      </w:pPr>
      <w:r>
        <w:t xml:space="preserve">Iraq is a federal parliamentary representative democratic republic. It has a multi-party system whereby the Prime Minister and the President </w:t>
      </w:r>
      <w:proofErr w:type="gramStart"/>
      <w:r>
        <w:t>exercise</w:t>
      </w:r>
      <w:proofErr w:type="gramEnd"/>
      <w:r>
        <w:t xml:space="preserve"> executive power. The Prime Minister is also the head of government. In Iraq, legislative power is exercised by the Federation Council and the Council of Representatives</w:t>
      </w:r>
      <w:r w:rsidR="000B6900">
        <w:t>.</w:t>
      </w:r>
      <w:r w:rsidR="007021E2">
        <w:t xml:space="preserve"> The</w:t>
      </w:r>
      <w:r w:rsidR="001A3F23">
        <w:t xml:space="preserve"> </w:t>
      </w:r>
      <w:r w:rsidR="00E739DA">
        <w:t>autonomous</w:t>
      </w:r>
      <w:r w:rsidR="001A3F23">
        <w:t xml:space="preserve"> </w:t>
      </w:r>
      <w:r w:rsidR="007021E2">
        <w:t xml:space="preserve">Kurdistan Region </w:t>
      </w:r>
      <w:r w:rsidR="001A3F23">
        <w:t>in the northern part of Iraq</w:t>
      </w:r>
      <w:r w:rsidR="00E739DA">
        <w:t xml:space="preserve"> is officially governed by the Kurdistan Regional Government. </w:t>
      </w:r>
    </w:p>
    <w:p w:rsidR="00E908CF" w:rsidRPr="00E739DA" w:rsidRDefault="0005607A" w:rsidP="00670A70">
      <w:pPr>
        <w:jc w:val="both"/>
      </w:pPr>
      <w:r w:rsidRPr="0005607A">
        <w:rPr>
          <w:b/>
          <w:i/>
          <w:u w:val="single"/>
        </w:rPr>
        <w:t>Ministry of Construction and Housing</w:t>
      </w:r>
      <w:r w:rsidR="00E153C5">
        <w:rPr>
          <w:rStyle w:val="FootnoteReference"/>
          <w:b/>
          <w:i/>
          <w:u w:val="single"/>
        </w:rPr>
        <w:footnoteReference w:id="3"/>
      </w:r>
    </w:p>
    <w:p w:rsidR="00E908CF" w:rsidRDefault="00145EFC" w:rsidP="00670A70">
      <w:pPr>
        <w:jc w:val="both"/>
      </w:pPr>
      <w:r>
        <w:t xml:space="preserve">The Ministry of Construction and Housing is responsible for the implementation of the right to adequate housing in Iraq. It is in charge of policy development and overseeing the implementation of </w:t>
      </w:r>
      <w:r w:rsidR="00F2138E">
        <w:t xml:space="preserve">urbanisation plans and strategies. The Ministry developed the National Housing Policy with the support of UN-Habitat. </w:t>
      </w:r>
    </w:p>
    <w:p w:rsidR="00B12B0B" w:rsidRPr="00E153C5" w:rsidRDefault="00B12B0B" w:rsidP="00B12B0B">
      <w:pPr>
        <w:jc w:val="both"/>
        <w:rPr>
          <w:rFonts w:cstheme="minorHAnsi"/>
          <w:b/>
          <w:i/>
        </w:rPr>
      </w:pPr>
      <w:r w:rsidRPr="00E153C5">
        <w:rPr>
          <w:rFonts w:cstheme="minorHAnsi"/>
          <w:b/>
          <w:i/>
          <w:u w:val="single"/>
        </w:rPr>
        <w:lastRenderedPageBreak/>
        <w:t>National</w:t>
      </w:r>
      <w:r w:rsidR="00F2138E" w:rsidRPr="00E153C5">
        <w:rPr>
          <w:rFonts w:cstheme="minorHAnsi"/>
          <w:b/>
          <w:i/>
          <w:u w:val="single"/>
        </w:rPr>
        <w:t xml:space="preserve"> </w:t>
      </w:r>
      <w:r w:rsidRPr="00E153C5">
        <w:rPr>
          <w:rFonts w:cstheme="minorHAnsi"/>
          <w:b/>
          <w:i/>
          <w:u w:val="single"/>
        </w:rPr>
        <w:t>Housing Policy</w:t>
      </w:r>
      <w:r w:rsidR="00F2138E" w:rsidRPr="00E153C5">
        <w:rPr>
          <w:rFonts w:cstheme="minorHAnsi"/>
          <w:b/>
          <w:i/>
          <w:u w:val="single"/>
        </w:rPr>
        <w:t xml:space="preserve"> (2010</w:t>
      </w:r>
      <w:r w:rsidRPr="00E153C5">
        <w:rPr>
          <w:rFonts w:cstheme="minorHAnsi"/>
          <w:b/>
          <w:i/>
          <w:u w:val="single"/>
        </w:rPr>
        <w:t>)</w:t>
      </w:r>
      <w:r w:rsidRPr="00E153C5">
        <w:rPr>
          <w:rStyle w:val="FootnoteReference"/>
          <w:rFonts w:cstheme="minorHAnsi"/>
          <w:b/>
          <w:i/>
          <w:u w:val="single"/>
        </w:rPr>
        <w:footnoteReference w:id="4"/>
      </w:r>
    </w:p>
    <w:p w:rsidR="002B1D6E" w:rsidRDefault="002B1D6E" w:rsidP="00B12B0B">
      <w:pPr>
        <w:jc w:val="both"/>
        <w:rPr>
          <w:rFonts w:cstheme="minorHAnsi"/>
        </w:rPr>
      </w:pPr>
      <w:r>
        <w:rPr>
          <w:rFonts w:cstheme="minorHAnsi"/>
        </w:rPr>
        <w:t xml:space="preserve">The National </w:t>
      </w:r>
      <w:r w:rsidRPr="002B1D6E">
        <w:rPr>
          <w:rFonts w:cstheme="minorHAnsi"/>
        </w:rPr>
        <w:t>Housing Policy set the broad parameters for the development of the hou</w:t>
      </w:r>
      <w:r>
        <w:rPr>
          <w:rFonts w:cstheme="minorHAnsi"/>
        </w:rPr>
        <w:t>sing sector in Iraq. It reflected</w:t>
      </w:r>
      <w:r w:rsidRPr="002B1D6E">
        <w:rPr>
          <w:rFonts w:cstheme="minorHAnsi"/>
        </w:rPr>
        <w:t xml:space="preserve"> the need to accelerate housing production to meet demand and enable economic growth. The Policy consider</w:t>
      </w:r>
      <w:r>
        <w:rPr>
          <w:rFonts w:cstheme="minorHAnsi"/>
        </w:rPr>
        <w:t>ed</w:t>
      </w:r>
      <w:r w:rsidRPr="002B1D6E">
        <w:rPr>
          <w:rFonts w:cstheme="minorHAnsi"/>
        </w:rPr>
        <w:t xml:space="preserve"> the fundamental role that housing must play in sustaining a productive and mobile population. It </w:t>
      </w:r>
      <w:r>
        <w:rPr>
          <w:rFonts w:cstheme="minorHAnsi"/>
        </w:rPr>
        <w:t xml:space="preserve">also </w:t>
      </w:r>
      <w:r w:rsidRPr="002B1D6E">
        <w:rPr>
          <w:rFonts w:cstheme="minorHAnsi"/>
        </w:rPr>
        <w:t>consider</w:t>
      </w:r>
      <w:r>
        <w:rPr>
          <w:rFonts w:cstheme="minorHAnsi"/>
        </w:rPr>
        <w:t xml:space="preserve">ed </w:t>
      </w:r>
      <w:r w:rsidRPr="002B1D6E">
        <w:rPr>
          <w:rFonts w:cstheme="minorHAnsi"/>
        </w:rPr>
        <w:t>the importance of the housing sector in responding to the needs of all Iraqis, consistent with the changing demographics of the country. It also consider</w:t>
      </w:r>
      <w:r>
        <w:rPr>
          <w:rFonts w:cstheme="minorHAnsi"/>
        </w:rPr>
        <w:t>ed</w:t>
      </w:r>
      <w:r w:rsidRPr="002B1D6E">
        <w:rPr>
          <w:rFonts w:cstheme="minorHAnsi"/>
        </w:rPr>
        <w:t xml:space="preserve"> the importance of public investment both for the growth .of the sector as a whole and for the provision of housing to</w:t>
      </w:r>
      <w:r>
        <w:rPr>
          <w:rFonts w:cstheme="minorHAnsi"/>
        </w:rPr>
        <w:t xml:space="preserve"> groups in situations of vulnerability</w:t>
      </w:r>
      <w:r w:rsidRPr="002B1D6E">
        <w:rPr>
          <w:rFonts w:cstheme="minorHAnsi"/>
        </w:rPr>
        <w:t xml:space="preserve"> and low-income group</w:t>
      </w:r>
      <w:r>
        <w:rPr>
          <w:rFonts w:cstheme="minorHAnsi"/>
        </w:rPr>
        <w:t>s.</w:t>
      </w:r>
    </w:p>
    <w:p w:rsidR="0080312B" w:rsidRPr="002B1D6E" w:rsidRDefault="0080312B" w:rsidP="002B1D6E">
      <w:pPr>
        <w:jc w:val="both"/>
        <w:rPr>
          <w:rFonts w:cstheme="minorHAnsi"/>
        </w:rPr>
      </w:pPr>
      <w:r w:rsidRPr="00FB7E00">
        <w:rPr>
          <w:b/>
          <w:sz w:val="28"/>
        </w:rPr>
        <w:t>Judiciary</w:t>
      </w:r>
    </w:p>
    <w:p w:rsidR="001B7B83" w:rsidRPr="00FB7E00" w:rsidRDefault="001B7ADF" w:rsidP="002250DD">
      <w:r>
        <w:t>N</w:t>
      </w:r>
      <w:r w:rsidR="00FB7E00">
        <w:t xml:space="preserve">o legal decisions regarding land and housing could be sourced. </w:t>
      </w: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0B6900" w:rsidRDefault="000B6900" w:rsidP="002250DD">
      <w:pPr>
        <w:rPr>
          <w:b/>
          <w:sz w:val="28"/>
        </w:rPr>
      </w:pPr>
    </w:p>
    <w:p w:rsidR="0080312B" w:rsidRDefault="00FB7E00" w:rsidP="002250DD">
      <w:pPr>
        <w:rPr>
          <w:b/>
          <w:sz w:val="28"/>
        </w:rPr>
      </w:pPr>
      <w:r w:rsidRPr="00FB7E00">
        <w:rPr>
          <w:b/>
          <w:sz w:val="28"/>
        </w:rPr>
        <w:lastRenderedPageBreak/>
        <w:t>International Conventions</w:t>
      </w:r>
      <w:r w:rsidR="00376665">
        <w:rPr>
          <w:rStyle w:val="FootnoteReference"/>
          <w:b/>
          <w:sz w:val="28"/>
        </w:rPr>
        <w:footnoteReference w:id="5"/>
      </w:r>
    </w:p>
    <w:p w:rsidR="00BF207E" w:rsidRDefault="00AA50E2" w:rsidP="00C8361C">
      <w:pPr>
        <w:jc w:val="both"/>
        <w:rPr>
          <w:rFonts w:eastAsia="Times New Roman" w:cstheme="minorHAnsi"/>
          <w:color w:val="000000"/>
          <w:lang w:eastAsia="en-AU"/>
        </w:rPr>
      </w:pPr>
      <w:r>
        <w:rPr>
          <w:rFonts w:eastAsia="Times New Roman" w:cstheme="minorHAnsi"/>
          <w:color w:val="000000"/>
          <w:lang w:eastAsia="en-AU"/>
        </w:rPr>
        <w:t xml:space="preserve">Iraq </w:t>
      </w:r>
      <w:r w:rsidR="00860FA2">
        <w:rPr>
          <w:rFonts w:eastAsia="Times New Roman" w:cstheme="minorHAnsi"/>
          <w:color w:val="000000"/>
          <w:lang w:eastAsia="en-AU"/>
        </w:rPr>
        <w:t xml:space="preserve">has ratified </w:t>
      </w:r>
      <w:r>
        <w:rPr>
          <w:rFonts w:eastAsia="Times New Roman" w:cstheme="minorHAnsi"/>
          <w:color w:val="000000"/>
          <w:lang w:eastAsia="en-AU"/>
        </w:rPr>
        <w:t>most</w:t>
      </w:r>
      <w:r>
        <w:rPr>
          <w:rFonts w:eastAsia="Times New Roman" w:cstheme="minorHAnsi"/>
          <w:color w:val="000000"/>
          <w:lang w:eastAsia="en-AU"/>
        </w:rPr>
        <w:t xml:space="preserve"> </w:t>
      </w:r>
      <w:r w:rsidR="00860FA2">
        <w:rPr>
          <w:rFonts w:eastAsia="Times New Roman" w:cstheme="minorHAnsi"/>
          <w:color w:val="000000"/>
          <w:lang w:eastAsia="en-AU"/>
        </w:rPr>
        <w:t xml:space="preserve">of the major human rights conventions, including the Covenant on Economic, Social and </w:t>
      </w:r>
      <w:r w:rsidR="00C8361C">
        <w:rPr>
          <w:rFonts w:eastAsia="Times New Roman" w:cstheme="minorHAnsi"/>
          <w:color w:val="000000"/>
          <w:lang w:eastAsia="en-AU"/>
        </w:rPr>
        <w:t>Cultural</w:t>
      </w:r>
      <w:r w:rsidR="00860FA2">
        <w:rPr>
          <w:rFonts w:eastAsia="Times New Roman" w:cstheme="minorHAnsi"/>
          <w:color w:val="000000"/>
          <w:lang w:eastAsia="en-AU"/>
        </w:rPr>
        <w:t xml:space="preserve"> Rights, which in</w:t>
      </w:r>
      <w:r w:rsidR="000B6900">
        <w:rPr>
          <w:rFonts w:eastAsia="Times New Roman" w:cstheme="minorHAnsi"/>
          <w:color w:val="000000"/>
          <w:lang w:eastAsia="en-AU"/>
        </w:rPr>
        <w:t>cludes the right to adequate housing as a component of the r</w:t>
      </w:r>
      <w:r w:rsidR="00860FA2">
        <w:rPr>
          <w:rFonts w:eastAsia="Times New Roman" w:cstheme="minorHAnsi"/>
          <w:color w:val="000000"/>
          <w:lang w:eastAsia="en-AU"/>
        </w:rPr>
        <w:t xml:space="preserve">ight to an </w:t>
      </w:r>
      <w:r w:rsidR="000B6900">
        <w:rPr>
          <w:rFonts w:eastAsia="Times New Roman" w:cstheme="minorHAnsi"/>
          <w:color w:val="000000"/>
          <w:lang w:eastAsia="en-AU"/>
        </w:rPr>
        <w:t>adequate standard of l</w:t>
      </w:r>
      <w:r w:rsidR="00860FA2">
        <w:rPr>
          <w:rFonts w:eastAsia="Times New Roman" w:cstheme="minorHAnsi"/>
          <w:color w:val="000000"/>
          <w:lang w:eastAsia="en-AU"/>
        </w:rPr>
        <w:t>iving.</w:t>
      </w:r>
    </w:p>
    <w:tbl>
      <w:tblPr>
        <w:tblStyle w:val="LightShading1"/>
        <w:tblW w:w="5157" w:type="pct"/>
        <w:tblLayout w:type="fixed"/>
        <w:tblLook w:val="04A0" w:firstRow="1" w:lastRow="0" w:firstColumn="1" w:lastColumn="0" w:noHBand="0" w:noVBand="1"/>
      </w:tblPr>
      <w:tblGrid>
        <w:gridCol w:w="3711"/>
        <w:gridCol w:w="1799"/>
        <w:gridCol w:w="1439"/>
        <w:gridCol w:w="2583"/>
      </w:tblGrid>
      <w:tr w:rsidR="00660377" w:rsidRPr="00660377" w:rsidTr="00DC01FD">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946" w:type="pct"/>
            <w:hideMark/>
          </w:tcPr>
          <w:p w:rsidR="00660377" w:rsidRPr="00660377" w:rsidRDefault="00F10484" w:rsidP="00AB52FA">
            <w:pPr>
              <w:rPr>
                <w:rFonts w:eastAsia="Times New Roman" w:cstheme="minorHAnsi"/>
                <w:bCs w:val="0"/>
                <w:color w:val="000000"/>
                <w:lang w:eastAsia="en-AU"/>
              </w:rPr>
            </w:pPr>
            <w:hyperlink r:id="rId9" w:tooltip="Click here to sort" w:history="1">
              <w:r w:rsidR="00660377" w:rsidRPr="00660377">
                <w:rPr>
                  <w:rStyle w:val="Hyperlink"/>
                  <w:rFonts w:eastAsia="Times New Roman" w:cstheme="minorHAnsi"/>
                  <w:lang w:eastAsia="en-AU"/>
                </w:rPr>
                <w:t>Treaty Description</w:t>
              </w:r>
            </w:hyperlink>
          </w:p>
        </w:tc>
        <w:tc>
          <w:tcPr>
            <w:tcW w:w="943" w:type="pct"/>
            <w:hideMark/>
          </w:tcPr>
          <w:p w:rsidR="00660377" w:rsidRPr="00660377" w:rsidRDefault="00F10484" w:rsidP="00AB52FA">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lang w:eastAsia="en-AU"/>
              </w:rPr>
            </w:pPr>
            <w:hyperlink r:id="rId10" w:tooltip="Click here to sort" w:history="1">
              <w:r w:rsidR="00660377" w:rsidRPr="00660377">
                <w:rPr>
                  <w:rStyle w:val="Hyperlink"/>
                  <w:rFonts w:eastAsia="Times New Roman" w:cstheme="minorHAnsi"/>
                  <w:lang w:eastAsia="en-AU"/>
                </w:rPr>
                <w:t>Treaty Name</w:t>
              </w:r>
            </w:hyperlink>
          </w:p>
        </w:tc>
        <w:tc>
          <w:tcPr>
            <w:tcW w:w="755" w:type="pct"/>
            <w:hideMark/>
          </w:tcPr>
          <w:p w:rsidR="00660377" w:rsidRPr="00660377" w:rsidRDefault="00F10484" w:rsidP="00AB52FA">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lang w:eastAsia="en-AU"/>
              </w:rPr>
            </w:pPr>
            <w:hyperlink r:id="rId11" w:tooltip="Click here to sort" w:history="1">
              <w:r w:rsidR="00660377" w:rsidRPr="00660377">
                <w:rPr>
                  <w:rStyle w:val="Hyperlink"/>
                  <w:rFonts w:eastAsia="Times New Roman" w:cstheme="minorHAnsi"/>
                  <w:lang w:eastAsia="en-AU"/>
                </w:rPr>
                <w:t>Signature Date</w:t>
              </w:r>
            </w:hyperlink>
          </w:p>
        </w:tc>
        <w:tc>
          <w:tcPr>
            <w:tcW w:w="1355" w:type="pct"/>
            <w:hideMark/>
          </w:tcPr>
          <w:p w:rsidR="00660377" w:rsidRPr="00660377" w:rsidRDefault="00F10484" w:rsidP="00AB52FA">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lang w:eastAsia="en-AU"/>
              </w:rPr>
            </w:pPr>
            <w:hyperlink r:id="rId12" w:tooltip="Click here to sort" w:history="1">
              <w:r w:rsidR="00660377" w:rsidRPr="00660377">
                <w:rPr>
                  <w:rStyle w:val="Hyperlink"/>
                  <w:rFonts w:eastAsia="Times New Roman" w:cstheme="minorHAnsi"/>
                  <w:lang w:eastAsia="en-AU"/>
                </w:rPr>
                <w:t>Ratification Date, Accession(a), Succession(d) Date</w:t>
              </w:r>
            </w:hyperlink>
          </w:p>
        </w:tc>
      </w:tr>
      <w:tr w:rsidR="00660377" w:rsidRPr="00660377" w:rsidTr="00DC01FD">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946" w:type="pct"/>
            <w:hideMark/>
          </w:tcPr>
          <w:p w:rsidR="00660377" w:rsidRPr="00660377" w:rsidRDefault="00660377" w:rsidP="00AB52FA">
            <w:pPr>
              <w:rPr>
                <w:rFonts w:eastAsia="Times New Roman" w:cstheme="minorHAnsi"/>
                <w:bCs w:val="0"/>
                <w:color w:val="000000"/>
                <w:lang w:eastAsia="en-AU"/>
              </w:rPr>
            </w:pPr>
            <w:r w:rsidRPr="00660377">
              <w:rPr>
                <w:rFonts w:eastAsia="Times New Roman" w:cstheme="minorHAnsi"/>
                <w:b w:val="0"/>
                <w:bCs w:val="0"/>
                <w:color w:val="000000"/>
                <w:lang w:eastAsia="en-AU"/>
              </w:rPr>
              <w:t>Convention against Torture and Other Cruel Inhuman or Degrading Treatment or Punishment</w:t>
            </w:r>
          </w:p>
        </w:tc>
        <w:tc>
          <w:tcPr>
            <w:tcW w:w="943"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CAT</w:t>
            </w:r>
          </w:p>
        </w:tc>
        <w:tc>
          <w:tcPr>
            <w:tcW w:w="755"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 xml:space="preserve"> </w:t>
            </w:r>
          </w:p>
        </w:tc>
        <w:tc>
          <w:tcPr>
            <w:tcW w:w="1355"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2 July 2011 (a)</w:t>
            </w:r>
          </w:p>
        </w:tc>
      </w:tr>
      <w:tr w:rsidR="00660377" w:rsidRPr="00660377" w:rsidTr="00DC01FD">
        <w:trPr>
          <w:trHeight w:val="455"/>
        </w:trPr>
        <w:tc>
          <w:tcPr>
            <w:cnfStyle w:val="001000000000" w:firstRow="0" w:lastRow="0" w:firstColumn="1" w:lastColumn="0" w:oddVBand="0" w:evenVBand="0" w:oddHBand="0" w:evenHBand="0" w:firstRowFirstColumn="0" w:firstRowLastColumn="0" w:lastRowFirstColumn="0" w:lastRowLastColumn="0"/>
            <w:tcW w:w="1946" w:type="pct"/>
            <w:hideMark/>
          </w:tcPr>
          <w:p w:rsidR="00660377" w:rsidRPr="00660377" w:rsidRDefault="00660377" w:rsidP="00AB52FA">
            <w:pPr>
              <w:rPr>
                <w:rFonts w:eastAsia="Times New Roman" w:cstheme="minorHAnsi"/>
                <w:bCs w:val="0"/>
                <w:color w:val="000000"/>
                <w:lang w:eastAsia="en-AU"/>
              </w:rPr>
            </w:pPr>
            <w:r w:rsidRPr="00660377">
              <w:rPr>
                <w:rFonts w:eastAsia="Times New Roman" w:cstheme="minorHAnsi"/>
                <w:b w:val="0"/>
                <w:bCs w:val="0"/>
                <w:color w:val="000000"/>
                <w:lang w:eastAsia="en-AU"/>
              </w:rPr>
              <w:t>International Covenant on Civil and Political Rights</w:t>
            </w:r>
          </w:p>
        </w:tc>
        <w:tc>
          <w:tcPr>
            <w:tcW w:w="943"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CCPR</w:t>
            </w:r>
          </w:p>
        </w:tc>
        <w:tc>
          <w:tcPr>
            <w:tcW w:w="755" w:type="pct"/>
            <w:hideMark/>
          </w:tcPr>
          <w:p w:rsidR="00660377" w:rsidRPr="00660377" w:rsidRDefault="00660377" w:rsidP="00DC01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 xml:space="preserve">18 Feb </w:t>
            </w:r>
            <w:r w:rsidR="00DC01FD">
              <w:rPr>
                <w:rFonts w:eastAsia="Times New Roman" w:cstheme="minorHAnsi"/>
                <w:color w:val="000000"/>
                <w:lang w:eastAsia="en-AU"/>
              </w:rPr>
              <w:t xml:space="preserve"> 1</w:t>
            </w:r>
            <w:r w:rsidRPr="00660377">
              <w:rPr>
                <w:rFonts w:eastAsia="Times New Roman" w:cstheme="minorHAnsi"/>
                <w:color w:val="000000"/>
                <w:lang w:eastAsia="en-AU"/>
              </w:rPr>
              <w:t>969 </w:t>
            </w:r>
          </w:p>
        </w:tc>
        <w:tc>
          <w:tcPr>
            <w:tcW w:w="1355" w:type="pct"/>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 xml:space="preserve"> 25 Jan 1971</w:t>
            </w:r>
          </w:p>
        </w:tc>
      </w:tr>
      <w:tr w:rsidR="00660377" w:rsidRPr="00660377" w:rsidTr="00DC01F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946" w:type="pct"/>
            <w:hideMark/>
          </w:tcPr>
          <w:p w:rsidR="00660377" w:rsidRPr="00660377" w:rsidRDefault="00660377" w:rsidP="00AB52FA">
            <w:pPr>
              <w:rPr>
                <w:rFonts w:eastAsia="Times New Roman" w:cstheme="minorHAnsi"/>
                <w:bCs w:val="0"/>
                <w:color w:val="000000"/>
                <w:lang w:eastAsia="en-AU"/>
              </w:rPr>
            </w:pPr>
            <w:r w:rsidRPr="00660377">
              <w:rPr>
                <w:rFonts w:eastAsia="Times New Roman" w:cstheme="minorHAnsi"/>
                <w:b w:val="0"/>
                <w:bCs w:val="0"/>
                <w:color w:val="000000"/>
                <w:lang w:eastAsia="en-AU"/>
              </w:rPr>
              <w:t>Convention on the Elimination of All Forms of Discrimination against Women</w:t>
            </w:r>
          </w:p>
        </w:tc>
        <w:tc>
          <w:tcPr>
            <w:tcW w:w="943"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CEDAW</w:t>
            </w:r>
          </w:p>
        </w:tc>
        <w:tc>
          <w:tcPr>
            <w:tcW w:w="755"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p>
        </w:tc>
        <w:tc>
          <w:tcPr>
            <w:tcW w:w="1355"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 xml:space="preserve"> 13 Aug 1986 (a)</w:t>
            </w:r>
          </w:p>
        </w:tc>
      </w:tr>
      <w:tr w:rsidR="00660377" w:rsidRPr="00660377" w:rsidTr="00DC01FD">
        <w:trPr>
          <w:trHeight w:val="703"/>
        </w:trPr>
        <w:tc>
          <w:tcPr>
            <w:cnfStyle w:val="001000000000" w:firstRow="0" w:lastRow="0" w:firstColumn="1" w:lastColumn="0" w:oddVBand="0" w:evenVBand="0" w:oddHBand="0" w:evenHBand="0" w:firstRowFirstColumn="0" w:firstRowLastColumn="0" w:lastRowFirstColumn="0" w:lastRowLastColumn="0"/>
            <w:tcW w:w="1946" w:type="pct"/>
            <w:hideMark/>
          </w:tcPr>
          <w:p w:rsidR="00660377" w:rsidRPr="00660377" w:rsidRDefault="00660377" w:rsidP="00AB52FA">
            <w:pPr>
              <w:rPr>
                <w:rFonts w:eastAsia="Times New Roman" w:cstheme="minorHAnsi"/>
                <w:bCs w:val="0"/>
                <w:color w:val="000000"/>
                <w:lang w:eastAsia="en-AU"/>
              </w:rPr>
            </w:pPr>
            <w:r w:rsidRPr="00660377">
              <w:rPr>
                <w:rFonts w:eastAsia="Times New Roman" w:cstheme="minorHAnsi"/>
                <w:b w:val="0"/>
                <w:bCs w:val="0"/>
                <w:color w:val="000000"/>
                <w:lang w:eastAsia="en-AU"/>
              </w:rPr>
              <w:t>International Convention on the Elimination of All Forms of Racial Discrimination</w:t>
            </w:r>
          </w:p>
        </w:tc>
        <w:tc>
          <w:tcPr>
            <w:tcW w:w="943"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CERD</w:t>
            </w:r>
          </w:p>
        </w:tc>
        <w:tc>
          <w:tcPr>
            <w:tcW w:w="755"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18 Feb 1969</w:t>
            </w:r>
          </w:p>
        </w:tc>
        <w:tc>
          <w:tcPr>
            <w:tcW w:w="1355"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13 Feb 1970</w:t>
            </w:r>
          </w:p>
        </w:tc>
      </w:tr>
      <w:tr w:rsidR="00660377" w:rsidRPr="00660377" w:rsidTr="00DC01FD">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946" w:type="pct"/>
            <w:hideMark/>
          </w:tcPr>
          <w:p w:rsidR="00660377" w:rsidRPr="00660377" w:rsidRDefault="00660377" w:rsidP="00AB52FA">
            <w:pPr>
              <w:rPr>
                <w:rFonts w:eastAsia="Times New Roman" w:cstheme="minorHAnsi"/>
                <w:bCs w:val="0"/>
                <w:color w:val="000000"/>
                <w:lang w:eastAsia="en-AU"/>
              </w:rPr>
            </w:pPr>
            <w:r w:rsidRPr="00660377">
              <w:rPr>
                <w:rFonts w:eastAsia="Times New Roman" w:cstheme="minorHAnsi"/>
                <w:b w:val="0"/>
                <w:bCs w:val="0"/>
                <w:color w:val="000000"/>
                <w:lang w:eastAsia="en-AU"/>
              </w:rPr>
              <w:t>International Covenant on Economic, Social and Cultural Rights</w:t>
            </w:r>
          </w:p>
        </w:tc>
        <w:tc>
          <w:tcPr>
            <w:tcW w:w="943"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CESCR</w:t>
            </w:r>
          </w:p>
        </w:tc>
        <w:tc>
          <w:tcPr>
            <w:tcW w:w="755"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18 Feb 1969</w:t>
            </w:r>
          </w:p>
        </w:tc>
        <w:tc>
          <w:tcPr>
            <w:tcW w:w="1355"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25 Jan 1971</w:t>
            </w:r>
          </w:p>
        </w:tc>
      </w:tr>
      <w:tr w:rsidR="00660377" w:rsidRPr="00660377" w:rsidTr="00DC01FD">
        <w:trPr>
          <w:trHeight w:val="937"/>
        </w:trPr>
        <w:tc>
          <w:tcPr>
            <w:cnfStyle w:val="001000000000" w:firstRow="0" w:lastRow="0" w:firstColumn="1" w:lastColumn="0" w:oddVBand="0" w:evenVBand="0" w:oddHBand="0" w:evenHBand="0" w:firstRowFirstColumn="0" w:firstRowLastColumn="0" w:lastRowFirstColumn="0" w:lastRowLastColumn="0"/>
            <w:tcW w:w="1946" w:type="pct"/>
            <w:hideMark/>
          </w:tcPr>
          <w:p w:rsidR="00660377" w:rsidRPr="00660377" w:rsidRDefault="00660377" w:rsidP="00AB52FA">
            <w:pPr>
              <w:rPr>
                <w:rFonts w:eastAsia="Times New Roman" w:cstheme="minorHAnsi"/>
                <w:bCs w:val="0"/>
                <w:color w:val="000000"/>
                <w:lang w:eastAsia="en-AU"/>
              </w:rPr>
            </w:pPr>
            <w:r w:rsidRPr="00660377">
              <w:rPr>
                <w:rFonts w:eastAsia="Times New Roman" w:cstheme="minorHAnsi"/>
                <w:b w:val="0"/>
                <w:bCs w:val="0"/>
                <w:color w:val="000000"/>
                <w:lang w:eastAsia="en-AU"/>
              </w:rPr>
              <w:t>International Convention on the Protection of the Rights of All Migrant Workers and Members of Their Families</w:t>
            </w:r>
          </w:p>
        </w:tc>
        <w:tc>
          <w:tcPr>
            <w:tcW w:w="943"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CMW</w:t>
            </w:r>
          </w:p>
        </w:tc>
        <w:tc>
          <w:tcPr>
            <w:tcW w:w="755"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 </w:t>
            </w:r>
          </w:p>
        </w:tc>
        <w:tc>
          <w:tcPr>
            <w:tcW w:w="1355"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r>
      <w:tr w:rsidR="00660377" w:rsidRPr="00660377" w:rsidTr="00DC01F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46" w:type="pct"/>
            <w:hideMark/>
          </w:tcPr>
          <w:p w:rsidR="00660377" w:rsidRPr="00660377" w:rsidRDefault="00660377" w:rsidP="00AB52FA">
            <w:pPr>
              <w:rPr>
                <w:rFonts w:eastAsia="Times New Roman" w:cstheme="minorHAnsi"/>
                <w:bCs w:val="0"/>
                <w:color w:val="000000"/>
                <w:lang w:eastAsia="en-AU"/>
              </w:rPr>
            </w:pPr>
            <w:r w:rsidRPr="00660377">
              <w:rPr>
                <w:rFonts w:eastAsia="Times New Roman" w:cstheme="minorHAnsi"/>
                <w:b w:val="0"/>
                <w:bCs w:val="0"/>
                <w:color w:val="000000"/>
                <w:lang w:eastAsia="en-AU"/>
              </w:rPr>
              <w:t>Convention on the Rights of the Child</w:t>
            </w:r>
          </w:p>
        </w:tc>
        <w:tc>
          <w:tcPr>
            <w:tcW w:w="943"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CRC</w:t>
            </w:r>
          </w:p>
        </w:tc>
        <w:tc>
          <w:tcPr>
            <w:tcW w:w="755"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 xml:space="preserve"> </w:t>
            </w:r>
          </w:p>
        </w:tc>
        <w:tc>
          <w:tcPr>
            <w:tcW w:w="1355" w:type="pct"/>
            <w:hideMark/>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15 Jun 1994 (a)</w:t>
            </w:r>
          </w:p>
        </w:tc>
      </w:tr>
      <w:tr w:rsidR="00660377" w:rsidRPr="00660377" w:rsidTr="00DC01FD">
        <w:trPr>
          <w:trHeight w:val="455"/>
        </w:trPr>
        <w:tc>
          <w:tcPr>
            <w:cnfStyle w:val="001000000000" w:firstRow="0" w:lastRow="0" w:firstColumn="1" w:lastColumn="0" w:oddVBand="0" w:evenVBand="0" w:oddHBand="0" w:evenHBand="0" w:firstRowFirstColumn="0" w:firstRowLastColumn="0" w:lastRowFirstColumn="0" w:lastRowLastColumn="0"/>
            <w:tcW w:w="1946" w:type="pct"/>
            <w:hideMark/>
          </w:tcPr>
          <w:p w:rsidR="00660377" w:rsidRPr="00660377" w:rsidRDefault="00660377" w:rsidP="00AB52FA">
            <w:pPr>
              <w:rPr>
                <w:rFonts w:eastAsia="Times New Roman" w:cstheme="minorHAnsi"/>
                <w:bCs w:val="0"/>
                <w:color w:val="000000"/>
                <w:lang w:eastAsia="en-AU"/>
              </w:rPr>
            </w:pPr>
            <w:r w:rsidRPr="00660377">
              <w:rPr>
                <w:rFonts w:eastAsia="Times New Roman" w:cstheme="minorHAnsi"/>
                <w:b w:val="0"/>
                <w:bCs w:val="0"/>
                <w:color w:val="000000"/>
                <w:lang w:eastAsia="en-AU"/>
              </w:rPr>
              <w:t>Convention on the Rights of Persons with Disabilities</w:t>
            </w:r>
          </w:p>
        </w:tc>
        <w:tc>
          <w:tcPr>
            <w:tcW w:w="943"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CRPD</w:t>
            </w:r>
          </w:p>
        </w:tc>
        <w:tc>
          <w:tcPr>
            <w:tcW w:w="755"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c>
          <w:tcPr>
            <w:tcW w:w="1355" w:type="pct"/>
            <w:hideMark/>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20 Mar 2013 (a)</w:t>
            </w:r>
          </w:p>
        </w:tc>
      </w:tr>
      <w:tr w:rsidR="00660377" w:rsidRPr="00660377" w:rsidTr="00DC01FD">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946" w:type="pct"/>
          </w:tcPr>
          <w:p w:rsidR="00660377" w:rsidRPr="00660377" w:rsidRDefault="00660377" w:rsidP="00AB52FA">
            <w:pPr>
              <w:rPr>
                <w:rFonts w:eastAsia="Times New Roman" w:cstheme="minorHAnsi"/>
                <w:color w:val="000000"/>
                <w:lang w:eastAsia="en-AU"/>
              </w:rPr>
            </w:pPr>
            <w:r w:rsidRPr="00660377">
              <w:rPr>
                <w:rFonts w:eastAsia="Times New Roman" w:cstheme="minorHAnsi"/>
                <w:b w:val="0"/>
                <w:color w:val="000000"/>
                <w:lang w:eastAsia="en-AU"/>
              </w:rPr>
              <w:t>Convention Relating to the Status of Refugees</w:t>
            </w:r>
          </w:p>
        </w:tc>
        <w:tc>
          <w:tcPr>
            <w:tcW w:w="943" w:type="pct"/>
          </w:tcPr>
          <w:p w:rsidR="00660377" w:rsidRPr="00660377" w:rsidRDefault="00660377" w:rsidP="00DC01F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Refugee</w:t>
            </w:r>
            <w:r w:rsidR="00DC01FD">
              <w:rPr>
                <w:rFonts w:eastAsia="Times New Roman" w:cstheme="minorHAnsi"/>
                <w:color w:val="000000"/>
                <w:lang w:eastAsia="en-AU"/>
              </w:rPr>
              <w:t xml:space="preserve"> Convention</w:t>
            </w:r>
            <w:r w:rsidRPr="00660377">
              <w:rPr>
                <w:rFonts w:eastAsia="Times New Roman" w:cstheme="minorHAnsi"/>
                <w:color w:val="000000"/>
                <w:lang w:eastAsia="en-AU"/>
              </w:rPr>
              <w:t xml:space="preserve"> </w:t>
            </w:r>
            <w:r w:rsidR="00DC01FD">
              <w:rPr>
                <w:rFonts w:eastAsia="Times New Roman" w:cstheme="minorHAnsi"/>
                <w:color w:val="000000"/>
                <w:lang w:eastAsia="en-AU"/>
              </w:rPr>
              <w:t xml:space="preserve"> </w:t>
            </w:r>
            <w:r w:rsidRPr="00660377">
              <w:rPr>
                <w:rFonts w:eastAsia="Times New Roman" w:cstheme="minorHAnsi"/>
                <w:color w:val="000000"/>
                <w:lang w:eastAsia="en-AU"/>
              </w:rPr>
              <w:tab/>
            </w:r>
            <w:r w:rsidRPr="00660377">
              <w:rPr>
                <w:rFonts w:eastAsia="Times New Roman" w:cstheme="minorHAnsi"/>
                <w:color w:val="000000"/>
                <w:lang w:eastAsia="en-AU"/>
              </w:rPr>
              <w:tab/>
            </w:r>
          </w:p>
        </w:tc>
        <w:tc>
          <w:tcPr>
            <w:tcW w:w="755" w:type="pct"/>
          </w:tcPr>
          <w:p w:rsidR="00660377" w:rsidRPr="00660377" w:rsidRDefault="00660377"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p>
        </w:tc>
        <w:tc>
          <w:tcPr>
            <w:tcW w:w="1355" w:type="pct"/>
          </w:tcPr>
          <w:p w:rsidR="00660377" w:rsidRPr="00660377" w:rsidRDefault="00DC01FD" w:rsidP="00AB52F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Pr>
                <w:rFonts w:eastAsia="Times New Roman" w:cstheme="minorHAnsi"/>
                <w:color w:val="000000"/>
                <w:lang w:eastAsia="en-AU"/>
              </w:rPr>
              <w:t>0</w:t>
            </w:r>
            <w:r w:rsidR="00660377" w:rsidRPr="00660377">
              <w:rPr>
                <w:rFonts w:eastAsia="Times New Roman" w:cstheme="minorHAnsi"/>
                <w:color w:val="000000"/>
                <w:lang w:eastAsia="en-AU"/>
              </w:rPr>
              <w:t>3 Jan 1980 (a)</w:t>
            </w:r>
          </w:p>
        </w:tc>
      </w:tr>
      <w:tr w:rsidR="00660377" w:rsidRPr="00660377" w:rsidTr="00DC01FD">
        <w:trPr>
          <w:trHeight w:val="451"/>
        </w:trPr>
        <w:tc>
          <w:tcPr>
            <w:cnfStyle w:val="001000000000" w:firstRow="0" w:lastRow="0" w:firstColumn="1" w:lastColumn="0" w:oddVBand="0" w:evenVBand="0" w:oddHBand="0" w:evenHBand="0" w:firstRowFirstColumn="0" w:firstRowLastColumn="0" w:lastRowFirstColumn="0" w:lastRowLastColumn="0"/>
            <w:tcW w:w="1946" w:type="pct"/>
          </w:tcPr>
          <w:p w:rsidR="00660377" w:rsidRPr="00660377" w:rsidRDefault="00660377" w:rsidP="00AB52FA">
            <w:pPr>
              <w:rPr>
                <w:rFonts w:eastAsia="Times New Roman" w:cstheme="minorHAnsi"/>
                <w:b w:val="0"/>
                <w:color w:val="000000"/>
                <w:lang w:eastAsia="en-AU"/>
              </w:rPr>
            </w:pPr>
            <w:r w:rsidRPr="00660377">
              <w:rPr>
                <w:rFonts w:eastAsia="Times New Roman" w:cstheme="minorHAnsi"/>
                <w:b w:val="0"/>
                <w:color w:val="000000"/>
                <w:lang w:eastAsia="en-AU"/>
              </w:rPr>
              <w:t>Protocol Relating to the Status of Refugees</w:t>
            </w:r>
            <w:r w:rsidRPr="00660377">
              <w:rPr>
                <w:rFonts w:eastAsia="Times New Roman" w:cstheme="minorHAnsi"/>
                <w:b w:val="0"/>
                <w:color w:val="000000"/>
                <w:lang w:eastAsia="en-AU"/>
              </w:rPr>
              <w:tab/>
            </w:r>
          </w:p>
        </w:tc>
        <w:tc>
          <w:tcPr>
            <w:tcW w:w="943" w:type="pct"/>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660377">
              <w:rPr>
                <w:rFonts w:eastAsia="Times New Roman" w:cstheme="minorHAnsi"/>
                <w:color w:val="000000"/>
                <w:lang w:eastAsia="en-AU"/>
              </w:rPr>
              <w:t>Protocol Relating to the Status of Refugees</w:t>
            </w:r>
          </w:p>
        </w:tc>
        <w:tc>
          <w:tcPr>
            <w:tcW w:w="755" w:type="pct"/>
          </w:tcPr>
          <w:p w:rsidR="00660377" w:rsidRPr="00660377" w:rsidRDefault="00660377"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c>
          <w:tcPr>
            <w:tcW w:w="1355" w:type="pct"/>
          </w:tcPr>
          <w:p w:rsidR="00660377" w:rsidRPr="00660377" w:rsidRDefault="00DC01FD" w:rsidP="00AB52F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Pr>
                <w:rFonts w:eastAsia="Times New Roman" w:cstheme="minorHAnsi"/>
                <w:color w:val="000000"/>
                <w:lang w:eastAsia="en-AU"/>
              </w:rPr>
              <w:t>0</w:t>
            </w:r>
            <w:r w:rsidR="00660377" w:rsidRPr="00660377">
              <w:rPr>
                <w:rFonts w:eastAsia="Times New Roman" w:cstheme="minorHAnsi"/>
                <w:color w:val="000000"/>
                <w:lang w:eastAsia="en-AU"/>
              </w:rPr>
              <w:t>3 Jan 1980 (a)</w:t>
            </w:r>
          </w:p>
        </w:tc>
      </w:tr>
    </w:tbl>
    <w:p w:rsidR="00AB52FA" w:rsidRDefault="00AB52FA" w:rsidP="00AB52FA">
      <w:pPr>
        <w:spacing w:after="0"/>
        <w:jc w:val="both"/>
        <w:rPr>
          <w:rFonts w:eastAsia="Times New Roman" w:cstheme="minorHAnsi"/>
          <w:color w:val="000000"/>
          <w:lang w:eastAsia="en-AU"/>
        </w:rPr>
      </w:pPr>
    </w:p>
    <w:p w:rsidR="00660377" w:rsidRDefault="00284801" w:rsidP="00AB52FA">
      <w:pPr>
        <w:spacing w:after="0"/>
        <w:jc w:val="both"/>
        <w:rPr>
          <w:rFonts w:eastAsia="Times New Roman" w:cstheme="minorHAnsi"/>
          <w:color w:val="000000"/>
          <w:lang w:eastAsia="en-AU"/>
        </w:rPr>
      </w:pPr>
      <w:r>
        <w:rPr>
          <w:rFonts w:eastAsia="Times New Roman" w:cstheme="minorHAnsi"/>
          <w:color w:val="000000"/>
          <w:lang w:eastAsia="en-AU"/>
        </w:rPr>
        <w:t xml:space="preserve"> Iraq</w:t>
      </w:r>
      <w:r w:rsidR="008B3E47">
        <w:rPr>
          <w:rFonts w:eastAsia="Times New Roman" w:cstheme="minorHAnsi"/>
          <w:color w:val="000000"/>
          <w:lang w:eastAsia="en-AU"/>
        </w:rPr>
        <w:t xml:space="preserve"> has not ratified:</w:t>
      </w:r>
    </w:p>
    <w:p w:rsidR="008B3E47" w:rsidRPr="00660377" w:rsidRDefault="008B3E47" w:rsidP="00660377">
      <w:pPr>
        <w:pStyle w:val="ListParagraph"/>
        <w:numPr>
          <w:ilvl w:val="0"/>
          <w:numId w:val="10"/>
        </w:numPr>
        <w:jc w:val="both"/>
        <w:rPr>
          <w:rFonts w:eastAsia="Times New Roman" w:cstheme="minorHAnsi"/>
          <w:color w:val="000000"/>
          <w:lang w:eastAsia="en-AU"/>
        </w:rPr>
      </w:pPr>
      <w:r w:rsidRPr="00660377">
        <w:rPr>
          <w:rFonts w:eastAsia="Times New Roman" w:cstheme="minorHAnsi"/>
          <w:color w:val="000000"/>
          <w:lang w:eastAsia="en-AU"/>
        </w:rPr>
        <w:t>International Convention on the Protection of the Rights of All Migrant Workers and Members of Their Families</w:t>
      </w:r>
    </w:p>
    <w:p w:rsidR="00014AAD" w:rsidRDefault="00014AAD" w:rsidP="00284801">
      <w:pPr>
        <w:pStyle w:val="ListParagraph"/>
        <w:jc w:val="both"/>
        <w:rPr>
          <w:rFonts w:eastAsia="Times New Roman" w:cstheme="minorHAnsi"/>
          <w:color w:val="000000"/>
          <w:lang w:eastAsia="en-AU"/>
        </w:rPr>
      </w:pPr>
    </w:p>
    <w:p w:rsidR="00DC01FD" w:rsidRPr="008B3E47" w:rsidRDefault="00DC01FD" w:rsidP="00284801">
      <w:pPr>
        <w:pStyle w:val="ListParagraph"/>
        <w:jc w:val="both"/>
        <w:rPr>
          <w:rFonts w:eastAsia="Times New Roman" w:cstheme="minorHAnsi"/>
          <w:color w:val="000000"/>
          <w:lang w:eastAsia="en-AU"/>
        </w:rPr>
      </w:pPr>
    </w:p>
    <w:p w:rsidR="002B1D6E" w:rsidRDefault="002B1D6E" w:rsidP="002250DD">
      <w:pPr>
        <w:rPr>
          <w:b/>
          <w:sz w:val="28"/>
        </w:rPr>
      </w:pPr>
    </w:p>
    <w:p w:rsidR="002E7D99" w:rsidRDefault="008B3E47" w:rsidP="002250DD">
      <w:pPr>
        <w:rPr>
          <w:b/>
          <w:sz w:val="28"/>
        </w:rPr>
      </w:pPr>
      <w:r>
        <w:rPr>
          <w:b/>
          <w:sz w:val="28"/>
        </w:rPr>
        <w:lastRenderedPageBreak/>
        <w:t>U</w:t>
      </w:r>
      <w:r w:rsidR="002E7D99" w:rsidRPr="00437199">
        <w:rPr>
          <w:b/>
          <w:sz w:val="28"/>
        </w:rPr>
        <w:t>N</w:t>
      </w:r>
      <w:r w:rsidR="00AB52FA">
        <w:rPr>
          <w:b/>
          <w:sz w:val="28"/>
        </w:rPr>
        <w:t xml:space="preserve"> </w:t>
      </w:r>
      <w:r w:rsidR="00437199" w:rsidRPr="00437199">
        <w:rPr>
          <w:b/>
          <w:sz w:val="28"/>
        </w:rPr>
        <w:t>Agencies</w:t>
      </w:r>
    </w:p>
    <w:p w:rsidR="00860FA2" w:rsidRPr="00437199" w:rsidRDefault="00860FA2" w:rsidP="00C8361C">
      <w:pPr>
        <w:jc w:val="both"/>
        <w:rPr>
          <w:b/>
          <w:sz w:val="28"/>
        </w:rPr>
      </w:pPr>
      <w:r>
        <w:rPr>
          <w:rFonts w:eastAsia="Times New Roman" w:cstheme="minorHAnsi"/>
          <w:color w:val="000000"/>
          <w:lang w:eastAsia="en-AU"/>
        </w:rPr>
        <w:t xml:space="preserve">UN </w:t>
      </w:r>
      <w:proofErr w:type="gramStart"/>
      <w:r>
        <w:rPr>
          <w:rFonts w:eastAsia="Times New Roman" w:cstheme="minorHAnsi"/>
          <w:color w:val="000000"/>
          <w:lang w:eastAsia="en-AU"/>
        </w:rPr>
        <w:t>review</w:t>
      </w:r>
      <w:proofErr w:type="gramEnd"/>
      <w:r>
        <w:rPr>
          <w:rFonts w:eastAsia="Times New Roman" w:cstheme="minorHAnsi"/>
          <w:color w:val="000000"/>
          <w:lang w:eastAsia="en-AU"/>
        </w:rPr>
        <w:t xml:space="preserve"> mechanisms have generally given positive feedback on the continual pursuit of improved housing, although have noted the restricted access that </w:t>
      </w:r>
      <w:r w:rsidR="00AA50E2">
        <w:rPr>
          <w:rFonts w:eastAsia="Times New Roman" w:cstheme="minorHAnsi"/>
          <w:color w:val="000000"/>
          <w:lang w:eastAsia="en-AU"/>
        </w:rPr>
        <w:t xml:space="preserve">certain </w:t>
      </w:r>
      <w:r>
        <w:rPr>
          <w:rFonts w:eastAsia="Times New Roman" w:cstheme="minorHAnsi"/>
          <w:color w:val="000000"/>
          <w:lang w:eastAsia="en-AU"/>
        </w:rPr>
        <w:t>minority groups have to housing.</w:t>
      </w:r>
    </w:p>
    <w:p w:rsidR="00437199" w:rsidRPr="00437199" w:rsidRDefault="00207A24" w:rsidP="002250DD">
      <w:r>
        <w:rPr>
          <w:rFonts w:cstheme="minorHAnsi"/>
          <w:b/>
          <w:i/>
        </w:rPr>
        <w:t>Universal Periodic Review</w:t>
      </w:r>
      <w:r w:rsidR="001A0E2A">
        <w:rPr>
          <w:rFonts w:cstheme="minorHAnsi"/>
          <w:b/>
          <w:i/>
        </w:rPr>
        <w:t xml:space="preserve"> (2010 and 2014)</w:t>
      </w:r>
    </w:p>
    <w:p w:rsidR="000B5A30" w:rsidRPr="000B5A30" w:rsidRDefault="000B5A30" w:rsidP="00C8361C">
      <w:pPr>
        <w:jc w:val="both"/>
        <w:rPr>
          <w:rFonts w:cstheme="minorHAnsi"/>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207A24" w:rsidRPr="00207A24" w:rsidRDefault="00207A24" w:rsidP="00C8361C">
      <w:pPr>
        <w:jc w:val="both"/>
        <w:rPr>
          <w:rFonts w:cstheme="minorHAnsi"/>
          <w:u w:val="single"/>
        </w:rPr>
      </w:pPr>
      <w:r w:rsidRPr="00207A24">
        <w:rPr>
          <w:rFonts w:cstheme="minorHAnsi"/>
          <w:u w:val="single"/>
        </w:rPr>
        <w:t>First UPR</w:t>
      </w:r>
      <w:r>
        <w:rPr>
          <w:rStyle w:val="FootnoteReference"/>
          <w:rFonts w:cstheme="minorHAnsi"/>
          <w:u w:val="single"/>
        </w:rPr>
        <w:footnoteReference w:id="6"/>
      </w:r>
    </w:p>
    <w:p w:rsidR="00207A24" w:rsidRDefault="00207A24" w:rsidP="00C8361C">
      <w:pPr>
        <w:jc w:val="both"/>
        <w:rPr>
          <w:rFonts w:cstheme="minorHAnsi"/>
        </w:rPr>
      </w:pPr>
      <w:r>
        <w:rPr>
          <w:rFonts w:cstheme="minorHAnsi"/>
        </w:rPr>
        <w:t>The Report noted that i</w:t>
      </w:r>
      <w:r w:rsidRPr="00207A24">
        <w:rPr>
          <w:rFonts w:cstheme="minorHAnsi"/>
        </w:rPr>
        <w:t xml:space="preserve">n January, the Government launched a national strategy for the alleviation of poverty, in cooperation with the World Bank. The </w:t>
      </w:r>
      <w:r>
        <w:rPr>
          <w:rFonts w:cstheme="minorHAnsi"/>
        </w:rPr>
        <w:t>objectives of the strategy were</w:t>
      </w:r>
      <w:r w:rsidRPr="00207A24">
        <w:rPr>
          <w:rFonts w:cstheme="minorHAnsi"/>
        </w:rPr>
        <w:t xml:space="preserve"> incorporated into the five-year development plan and are aimed at reducing poverty by 30 per cent by ensuring better incomes for the poor and improving their situation in terms of health care, education, housing and social protection, and by reducing the disparities between m</w:t>
      </w:r>
      <w:r w:rsidR="00AF309A">
        <w:rPr>
          <w:rFonts w:cstheme="minorHAnsi"/>
        </w:rPr>
        <w:t>e</w:t>
      </w:r>
      <w:r w:rsidRPr="00207A24">
        <w:rPr>
          <w:rFonts w:cstheme="minorHAnsi"/>
        </w:rPr>
        <w:t>n and women.</w:t>
      </w:r>
    </w:p>
    <w:p w:rsidR="00207A24" w:rsidRDefault="00207A24" w:rsidP="00C8361C">
      <w:pPr>
        <w:jc w:val="both"/>
        <w:rPr>
          <w:rFonts w:cstheme="minorHAnsi"/>
        </w:rPr>
      </w:pPr>
      <w:r>
        <w:rPr>
          <w:rFonts w:cstheme="minorHAnsi"/>
        </w:rPr>
        <w:t xml:space="preserve">‘Recommendation </w:t>
      </w:r>
      <w:r w:rsidRPr="00207A24">
        <w:rPr>
          <w:rFonts w:cstheme="minorHAnsi"/>
        </w:rPr>
        <w:t>44</w:t>
      </w:r>
      <w:r>
        <w:rPr>
          <w:rFonts w:cstheme="minorHAnsi"/>
        </w:rPr>
        <w:t>:</w:t>
      </w:r>
      <w:r w:rsidRPr="00207A24">
        <w:rPr>
          <w:rFonts w:cstheme="minorHAnsi"/>
        </w:rPr>
        <w:t xml:space="preserve"> Further enhance measures, in cooperation with the international community, to protect and promote the rights of the child, including through strengthening the educational system and the provision of adequate food, housing and health services to the most vulnerable families and groups in society</w:t>
      </w:r>
      <w:r>
        <w:rPr>
          <w:rFonts w:cstheme="minorHAnsi"/>
        </w:rPr>
        <w:t>.’</w:t>
      </w:r>
    </w:p>
    <w:p w:rsidR="00437199" w:rsidRPr="00207A24" w:rsidRDefault="00207A24" w:rsidP="00C8361C">
      <w:pPr>
        <w:jc w:val="both"/>
        <w:rPr>
          <w:rFonts w:cstheme="minorHAnsi"/>
          <w:u w:val="single"/>
        </w:rPr>
      </w:pPr>
      <w:r w:rsidRPr="00207A24">
        <w:rPr>
          <w:rFonts w:cstheme="minorHAnsi"/>
          <w:u w:val="single"/>
        </w:rPr>
        <w:t xml:space="preserve"> Second UPR</w:t>
      </w:r>
      <w:r>
        <w:rPr>
          <w:rStyle w:val="FootnoteReference"/>
          <w:rFonts w:cstheme="minorHAnsi"/>
          <w:u w:val="single"/>
        </w:rPr>
        <w:footnoteReference w:id="7"/>
      </w:r>
    </w:p>
    <w:p w:rsidR="00207A24" w:rsidRDefault="001A0E2A" w:rsidP="00C8361C">
      <w:pPr>
        <w:jc w:val="both"/>
        <w:rPr>
          <w:rFonts w:cstheme="minorHAnsi"/>
          <w:bCs/>
        </w:rPr>
      </w:pPr>
      <w:r>
        <w:rPr>
          <w:rFonts w:cstheme="minorHAnsi"/>
          <w:bCs/>
        </w:rPr>
        <w:t xml:space="preserve">‘Recommendation </w:t>
      </w:r>
      <w:r w:rsidRPr="001A0E2A">
        <w:rPr>
          <w:rFonts w:cstheme="minorHAnsi"/>
          <w:bCs/>
        </w:rPr>
        <w:t>127.53</w:t>
      </w:r>
      <w:r>
        <w:rPr>
          <w:rFonts w:cstheme="minorHAnsi"/>
          <w:bCs/>
        </w:rPr>
        <w:t>:</w:t>
      </w:r>
      <w:r w:rsidRPr="001A0E2A">
        <w:rPr>
          <w:rFonts w:cstheme="minorHAnsi"/>
          <w:bCs/>
        </w:rPr>
        <w:t xml:space="preserve"> Further enhance measures, in cooperation with the international community, to protect and promote the rights of the child, including through strengthening the educational system and the provision of adequate food, housing and health services</w:t>
      </w:r>
      <w:r>
        <w:rPr>
          <w:rFonts w:cstheme="minorHAnsi"/>
          <w:bCs/>
        </w:rPr>
        <w:t>.’</w:t>
      </w:r>
    </w:p>
    <w:p w:rsidR="001A0E2A" w:rsidRDefault="001A0E2A" w:rsidP="00C8361C">
      <w:pPr>
        <w:jc w:val="both"/>
        <w:rPr>
          <w:rFonts w:cstheme="minorHAnsi"/>
          <w:bCs/>
        </w:rPr>
      </w:pPr>
      <w:r>
        <w:rPr>
          <w:rFonts w:cstheme="minorHAnsi"/>
          <w:bCs/>
        </w:rPr>
        <w:t xml:space="preserve">‘Recommendation </w:t>
      </w:r>
      <w:r w:rsidRPr="001A0E2A">
        <w:rPr>
          <w:rFonts w:cstheme="minorHAnsi"/>
          <w:bCs/>
        </w:rPr>
        <w:t>127.54 Continue to adopt programmes that provide basic services to children, including health care, housing and education</w:t>
      </w:r>
      <w:r>
        <w:rPr>
          <w:rFonts w:cstheme="minorHAnsi"/>
          <w:bCs/>
        </w:rPr>
        <w:t>.’</w:t>
      </w:r>
    </w:p>
    <w:p w:rsidR="00CE3053" w:rsidRDefault="00437199" w:rsidP="002250DD">
      <w:pPr>
        <w:rPr>
          <w:rFonts w:cstheme="minorHAnsi"/>
          <w:b/>
          <w:bCs/>
          <w:i/>
        </w:rPr>
      </w:pPr>
      <w:r w:rsidRPr="00437199">
        <w:rPr>
          <w:rFonts w:cstheme="minorHAnsi"/>
          <w:b/>
          <w:bCs/>
          <w:i/>
        </w:rPr>
        <w:t>Report of the United Nations High Com</w:t>
      </w:r>
      <w:r w:rsidR="001A0E2A">
        <w:rPr>
          <w:rFonts w:cstheme="minorHAnsi"/>
          <w:b/>
          <w:bCs/>
          <w:i/>
        </w:rPr>
        <w:t>missioner for Human Rights (2010 and 2014</w:t>
      </w:r>
      <w:r w:rsidRPr="00437199">
        <w:rPr>
          <w:rFonts w:cstheme="minorHAnsi"/>
          <w:b/>
          <w:bCs/>
          <w:i/>
        </w:rPr>
        <w:t>)</w:t>
      </w:r>
      <w:r w:rsidR="00BF207E">
        <w:rPr>
          <w:rStyle w:val="FootnoteReference"/>
          <w:rFonts w:cstheme="minorHAnsi"/>
          <w:b/>
          <w:bCs/>
          <w:i/>
        </w:rPr>
        <w:footnoteReference w:id="8"/>
      </w:r>
    </w:p>
    <w:p w:rsidR="00C8361C" w:rsidRDefault="00CE3053" w:rsidP="00C8361C">
      <w:pPr>
        <w:jc w:val="both"/>
        <w:rPr>
          <w:rFonts w:cstheme="minorHAnsi"/>
          <w:bCs/>
          <w:i/>
        </w:rPr>
      </w:pPr>
      <w:r>
        <w:rPr>
          <w:rFonts w:cstheme="minorHAnsi"/>
          <w:bCs/>
          <w:i/>
        </w:rPr>
        <w:t>The Report provides a comprehensive review of the Human Rights situation in a given country and is presented to the Human Rights Council.</w:t>
      </w:r>
    </w:p>
    <w:p w:rsidR="00437199" w:rsidRPr="00C93A1A" w:rsidRDefault="001A0E2A" w:rsidP="00C8361C">
      <w:pPr>
        <w:jc w:val="both"/>
        <w:rPr>
          <w:rFonts w:cstheme="minorHAnsi"/>
          <w:i/>
        </w:rPr>
      </w:pPr>
      <w:r>
        <w:rPr>
          <w:rFonts w:cstheme="minorHAnsi"/>
        </w:rPr>
        <w:t xml:space="preserve"> </w:t>
      </w:r>
    </w:p>
    <w:p w:rsidR="00723BCB" w:rsidRDefault="00952245" w:rsidP="00952245">
      <w:pPr>
        <w:jc w:val="both"/>
        <w:rPr>
          <w:rFonts w:cstheme="minorHAnsi"/>
          <w:bCs/>
        </w:rPr>
      </w:pPr>
      <w:r>
        <w:rPr>
          <w:rFonts w:cstheme="minorHAnsi"/>
          <w:bCs/>
        </w:rPr>
        <w:lastRenderedPageBreak/>
        <w:t xml:space="preserve">The 2010 report found that the </w:t>
      </w:r>
      <w:r w:rsidR="002B1D6E" w:rsidRPr="002B1D6E">
        <w:rPr>
          <w:rFonts w:cstheme="minorHAnsi"/>
          <w:bCs/>
        </w:rPr>
        <w:t>2008-2010 United Nations Iraq Assistance Strategy mentioned</w:t>
      </w:r>
      <w:r>
        <w:rPr>
          <w:rFonts w:cstheme="minorHAnsi"/>
          <w:bCs/>
        </w:rPr>
        <w:t xml:space="preserve"> that the housing sector had </w:t>
      </w:r>
      <w:r w:rsidR="002B1D6E" w:rsidRPr="002B1D6E">
        <w:rPr>
          <w:rFonts w:cstheme="minorHAnsi"/>
          <w:bCs/>
        </w:rPr>
        <w:t>seen major delivery, subsidy, policy and institutional shortfalls.</w:t>
      </w:r>
      <w:r>
        <w:rPr>
          <w:rFonts w:cstheme="minorHAnsi"/>
          <w:bCs/>
        </w:rPr>
        <w:t xml:space="preserve"> It also found that a</w:t>
      </w:r>
      <w:r w:rsidR="002B1D6E" w:rsidRPr="002B1D6E">
        <w:rPr>
          <w:rFonts w:cstheme="minorHAnsi"/>
          <w:bCs/>
        </w:rPr>
        <w:t xml:space="preserve"> 2008 United Nations Statistics Division source indicated tha</w:t>
      </w:r>
      <w:r>
        <w:rPr>
          <w:rFonts w:cstheme="minorHAnsi"/>
          <w:bCs/>
        </w:rPr>
        <w:t>t the total proportion of urban p</w:t>
      </w:r>
      <w:r w:rsidR="002B1D6E" w:rsidRPr="002B1D6E">
        <w:rPr>
          <w:rFonts w:cstheme="minorHAnsi"/>
          <w:bCs/>
        </w:rPr>
        <w:t>opulation living in slums in 2005 was 52.8 per cent.</w:t>
      </w:r>
      <w:r w:rsidR="00235871">
        <w:rPr>
          <w:rFonts w:cstheme="minorHAnsi"/>
          <w:bCs/>
        </w:rPr>
        <w:t xml:space="preserve"> It was also noted that i</w:t>
      </w:r>
      <w:r w:rsidR="002B1D6E" w:rsidRPr="002B1D6E">
        <w:rPr>
          <w:rFonts w:cstheme="minorHAnsi"/>
          <w:bCs/>
        </w:rPr>
        <w:t>n November 2008, the Special Rapporteur on adequate housing as a component of the right to an adequate standard of living sent a communication concerning the danger of collapse of the Mosul Dam on the Tigris River</w:t>
      </w:r>
      <w:r w:rsidR="00235871">
        <w:rPr>
          <w:rFonts w:cstheme="minorHAnsi"/>
          <w:bCs/>
        </w:rPr>
        <w:t>.</w:t>
      </w:r>
    </w:p>
    <w:p w:rsidR="00723BCB" w:rsidRDefault="00235871" w:rsidP="00235871">
      <w:pPr>
        <w:jc w:val="both"/>
        <w:rPr>
          <w:rFonts w:cstheme="minorHAnsi"/>
          <w:b/>
          <w:bCs/>
          <w:i/>
        </w:rPr>
      </w:pPr>
      <w:r>
        <w:rPr>
          <w:rFonts w:cstheme="minorHAnsi"/>
          <w:bCs/>
        </w:rPr>
        <w:t xml:space="preserve">In the 2014 Report </w:t>
      </w:r>
      <w:r w:rsidRPr="00235871">
        <w:rPr>
          <w:rFonts w:cstheme="minorHAnsi"/>
          <w:bCs/>
        </w:rPr>
        <w:t>concern</w:t>
      </w:r>
      <w:r>
        <w:rPr>
          <w:rFonts w:cstheme="minorHAnsi"/>
          <w:bCs/>
        </w:rPr>
        <w:t xml:space="preserve"> was expressed</w:t>
      </w:r>
      <w:r w:rsidRPr="00235871">
        <w:rPr>
          <w:rFonts w:cstheme="minorHAnsi"/>
          <w:bCs/>
        </w:rPr>
        <w:t xml:space="preserve"> about the economic situation, which continued to affect large numbers of Iraqis, </w:t>
      </w:r>
      <w:r>
        <w:rPr>
          <w:rFonts w:cstheme="minorHAnsi"/>
          <w:bCs/>
        </w:rPr>
        <w:t xml:space="preserve">especially those </w:t>
      </w:r>
      <w:r w:rsidRPr="00235871">
        <w:rPr>
          <w:rFonts w:cstheme="minorHAnsi"/>
          <w:bCs/>
        </w:rPr>
        <w:t>who faced difficulties in accessing basic services including electricity, clean drinking water, education, health care and housing, particularly in rural areas.</w:t>
      </w:r>
    </w:p>
    <w:p w:rsidR="00437199" w:rsidRDefault="00437199" w:rsidP="002250DD">
      <w:pPr>
        <w:rPr>
          <w:rFonts w:cstheme="minorHAnsi"/>
          <w:b/>
          <w:bCs/>
          <w:i/>
        </w:rPr>
      </w:pPr>
      <w:r w:rsidRPr="00437199">
        <w:rPr>
          <w:rFonts w:cstheme="minorHAnsi"/>
          <w:b/>
          <w:bCs/>
          <w:i/>
        </w:rPr>
        <w:t xml:space="preserve">Committee on Economic, </w:t>
      </w:r>
      <w:r w:rsidR="00433E35">
        <w:rPr>
          <w:rFonts w:cstheme="minorHAnsi"/>
          <w:b/>
          <w:bCs/>
          <w:i/>
        </w:rPr>
        <w:t>Social and Cultural Rights (1997</w:t>
      </w:r>
      <w:r w:rsidRPr="00437199">
        <w:rPr>
          <w:rFonts w:cstheme="minorHAnsi"/>
          <w:b/>
          <w:bCs/>
          <w:i/>
        </w:rPr>
        <w:t>)</w:t>
      </w:r>
      <w:r w:rsidR="00BF207E">
        <w:rPr>
          <w:rStyle w:val="FootnoteReference"/>
          <w:rFonts w:cstheme="minorHAnsi"/>
          <w:b/>
          <w:bCs/>
          <w:i/>
        </w:rPr>
        <w:footnoteReference w:id="9"/>
      </w:r>
    </w:p>
    <w:p w:rsidR="00CE3053" w:rsidRPr="00CE3053" w:rsidRDefault="00CE3053" w:rsidP="00C8361C">
      <w:pPr>
        <w:jc w:val="both"/>
        <w:rPr>
          <w:rFonts w:cstheme="minorHAnsi"/>
          <w:bCs/>
        </w:rPr>
      </w:pPr>
      <w:r>
        <w:rPr>
          <w:rFonts w:cstheme="minorHAnsi"/>
          <w:bCs/>
          <w:i/>
        </w:rPr>
        <w:t xml:space="preserve">The Committee specifically reviews states that have ratified the ICESCR on their compliance with the rights enshrined in it, including the </w:t>
      </w:r>
      <w:r w:rsidR="000B6900">
        <w:rPr>
          <w:rFonts w:cstheme="minorHAnsi"/>
          <w:bCs/>
          <w:i/>
        </w:rPr>
        <w:t xml:space="preserve">right to adequate housing. </w:t>
      </w:r>
    </w:p>
    <w:p w:rsidR="00993238" w:rsidRDefault="00D16349" w:rsidP="00C8361C">
      <w:pPr>
        <w:jc w:val="both"/>
        <w:rPr>
          <w:rFonts w:cstheme="minorHAnsi"/>
        </w:rPr>
      </w:pPr>
      <w:r w:rsidRPr="00D16349">
        <w:rPr>
          <w:rFonts w:cstheme="minorHAnsi"/>
        </w:rPr>
        <w:t>With respect to the right to adequate housing under article 11 of the Covenant, the Committee expresse</w:t>
      </w:r>
      <w:r>
        <w:rPr>
          <w:rFonts w:cstheme="minorHAnsi"/>
        </w:rPr>
        <w:t>d</w:t>
      </w:r>
      <w:r w:rsidRPr="00D16349">
        <w:rPr>
          <w:rFonts w:cstheme="minorHAnsi"/>
        </w:rPr>
        <w:t xml:space="preserve"> its concern about reports of discrimination in the enjoyment of this right, especially in relation to forced evictions of members of certain minorities (Kurds, </w:t>
      </w:r>
      <w:proofErr w:type="spellStart"/>
      <w:r w:rsidRPr="00D16349">
        <w:rPr>
          <w:rFonts w:cstheme="minorHAnsi"/>
        </w:rPr>
        <w:t>Turkomans</w:t>
      </w:r>
      <w:proofErr w:type="spellEnd"/>
      <w:r w:rsidRPr="00D16349">
        <w:rPr>
          <w:rFonts w:cstheme="minorHAnsi"/>
        </w:rPr>
        <w:t xml:space="preserve"> and Shi’a Muslims) and the situation of “squatters” in urban areas.</w:t>
      </w:r>
    </w:p>
    <w:p w:rsidR="00D16349" w:rsidRDefault="00D16349" w:rsidP="00C8361C">
      <w:pPr>
        <w:jc w:val="both"/>
        <w:rPr>
          <w:rFonts w:cstheme="minorHAnsi"/>
        </w:rPr>
      </w:pPr>
      <w:r w:rsidRPr="00D16349">
        <w:rPr>
          <w:rFonts w:cstheme="minorHAnsi"/>
        </w:rPr>
        <w:t>The Committee recommend</w:t>
      </w:r>
      <w:r>
        <w:rPr>
          <w:rFonts w:cstheme="minorHAnsi"/>
        </w:rPr>
        <w:t>ed</w:t>
      </w:r>
      <w:r w:rsidRPr="00D16349">
        <w:rPr>
          <w:rFonts w:cstheme="minorHAnsi"/>
        </w:rPr>
        <w:t xml:space="preserve"> that all appropriate measures be taken by the authorities to implement, without discrimination, the right to adequate housing under article 11 of the Covenant, and call</w:t>
      </w:r>
      <w:r>
        <w:rPr>
          <w:rFonts w:cstheme="minorHAnsi"/>
        </w:rPr>
        <w:t>ed</w:t>
      </w:r>
      <w:r w:rsidRPr="00D16349">
        <w:rPr>
          <w:rFonts w:cstheme="minorHAnsi"/>
        </w:rPr>
        <w:t xml:space="preserve"> the attention of the State party to its General Comment Nos. 4 and 7.</w:t>
      </w:r>
    </w:p>
    <w:p w:rsidR="007464A5" w:rsidRPr="007464A5" w:rsidRDefault="007464A5" w:rsidP="002250DD">
      <w:pPr>
        <w:rPr>
          <w:b/>
          <w:i/>
        </w:rPr>
      </w:pPr>
      <w:r w:rsidRPr="007464A5">
        <w:rPr>
          <w:b/>
          <w:i/>
        </w:rPr>
        <w:t>United Nations Country Team (UNCT)</w:t>
      </w:r>
      <w:r w:rsidR="00BF207E">
        <w:rPr>
          <w:rStyle w:val="FootnoteReference"/>
          <w:b/>
          <w:i/>
        </w:rPr>
        <w:footnoteReference w:id="10"/>
      </w:r>
    </w:p>
    <w:p w:rsidR="000B6900" w:rsidRDefault="000B5A30" w:rsidP="00C8361C">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0B5A30" w:rsidRPr="000B5A30" w:rsidRDefault="001B7ADF" w:rsidP="00C8361C">
      <w:pPr>
        <w:jc w:val="both"/>
        <w:rPr>
          <w:i/>
        </w:rPr>
      </w:pPr>
      <w:r w:rsidRPr="00680185">
        <w:t>N</w:t>
      </w:r>
      <w:r w:rsidR="000B6900" w:rsidRPr="00680185">
        <w:t>o relevant information on the right to adequate housing could be sourced.</w:t>
      </w:r>
    </w:p>
    <w:p w:rsidR="00B82ABF" w:rsidRDefault="007464A5" w:rsidP="00B82ABF">
      <w:pPr>
        <w:rPr>
          <w:rFonts w:cstheme="minorHAnsi"/>
          <w:b/>
          <w:i/>
        </w:rPr>
      </w:pPr>
      <w:r w:rsidRPr="007464A5">
        <w:rPr>
          <w:rFonts w:cstheme="minorHAnsi"/>
          <w:b/>
          <w:i/>
        </w:rPr>
        <w:t>United Nations Development Assistance Framework (UNDAF)</w:t>
      </w:r>
      <w:r w:rsidR="00BF207E">
        <w:rPr>
          <w:rStyle w:val="FootnoteReference"/>
          <w:rFonts w:cstheme="minorHAnsi"/>
          <w:b/>
          <w:i/>
        </w:rPr>
        <w:footnoteReference w:id="11"/>
      </w:r>
    </w:p>
    <w:p w:rsidR="00235871" w:rsidRDefault="000B5A30" w:rsidP="00B82ABF">
      <w:pPr>
        <w:rPr>
          <w:i/>
        </w:rPr>
      </w:pPr>
      <w:r w:rsidRPr="000B5A30">
        <w:rPr>
          <w:i/>
        </w:rPr>
        <w:t xml:space="preserve">The UNDAF is the strategic programme framework that describes the collective response of the UN system to national development priorities. </w:t>
      </w:r>
      <w:r w:rsidR="007464A5" w:rsidRPr="000B5A30">
        <w:rPr>
          <w:i/>
        </w:rPr>
        <w:t xml:space="preserve">The UNDAF forms the overall framework for </w:t>
      </w:r>
      <w:r w:rsidR="00FE546B">
        <w:rPr>
          <w:i/>
        </w:rPr>
        <w:t>the UNCT’s work between 20</w:t>
      </w:r>
      <w:r w:rsidR="004C2266">
        <w:rPr>
          <w:i/>
        </w:rPr>
        <w:t>15</w:t>
      </w:r>
      <w:r w:rsidR="00FE546B">
        <w:rPr>
          <w:i/>
        </w:rPr>
        <w:t xml:space="preserve"> </w:t>
      </w:r>
      <w:r w:rsidR="007464A5" w:rsidRPr="000B5A30">
        <w:rPr>
          <w:i/>
        </w:rPr>
        <w:t>and 201</w:t>
      </w:r>
      <w:r w:rsidR="004C2266">
        <w:rPr>
          <w:i/>
        </w:rPr>
        <w:t>9</w:t>
      </w:r>
      <w:r w:rsidR="007464A5" w:rsidRPr="000B5A30">
        <w:rPr>
          <w:i/>
        </w:rPr>
        <w:t>.</w:t>
      </w:r>
    </w:p>
    <w:p w:rsidR="00723BCB" w:rsidRPr="008A4950" w:rsidRDefault="008A4950" w:rsidP="00B82ABF">
      <w:r>
        <w:t xml:space="preserve">Iraq’s UNDAF found that many people in Iraq lack understanding of their rights to basic services, or how to obtain them. These services include water and sanitation, health, food distribution and housing. </w:t>
      </w:r>
    </w:p>
    <w:p w:rsidR="001158E4" w:rsidRPr="00D33E16" w:rsidRDefault="001158E4" w:rsidP="00D33E16">
      <w:pPr>
        <w:jc w:val="both"/>
        <w:rPr>
          <w:i/>
        </w:rPr>
      </w:pPr>
      <w:r w:rsidRPr="001B7B83">
        <w:rPr>
          <w:b/>
          <w:sz w:val="28"/>
        </w:rPr>
        <w:lastRenderedPageBreak/>
        <w:t>UN-Habitat</w:t>
      </w:r>
      <w:r w:rsidR="00B33886">
        <w:rPr>
          <w:rStyle w:val="FootnoteReference"/>
          <w:b/>
          <w:sz w:val="28"/>
        </w:rPr>
        <w:footnoteReference w:id="12"/>
      </w:r>
    </w:p>
    <w:p w:rsidR="00860FA2" w:rsidRPr="00860FA2" w:rsidRDefault="00860FA2" w:rsidP="00C8361C">
      <w:pPr>
        <w:jc w:val="both"/>
        <w:rPr>
          <w:rFonts w:eastAsia="Times New Roman" w:cstheme="minorHAnsi"/>
          <w:color w:val="000000"/>
          <w:lang w:eastAsia="en-AU"/>
        </w:rPr>
      </w:pPr>
      <w:r>
        <w:rPr>
          <w:rFonts w:eastAsia="Times New Roman" w:cstheme="minorHAnsi"/>
          <w:color w:val="000000"/>
          <w:lang w:eastAsia="en-AU"/>
        </w:rPr>
        <w:t xml:space="preserve">UN-Habitat has worked on a number of projects in </w:t>
      </w:r>
      <w:r w:rsidR="00B82ABF">
        <w:rPr>
          <w:rFonts w:eastAsia="Times New Roman" w:cstheme="minorHAnsi"/>
          <w:color w:val="000000"/>
          <w:lang w:eastAsia="en-AU"/>
        </w:rPr>
        <w:t>Iraq</w:t>
      </w:r>
      <w:r>
        <w:rPr>
          <w:rFonts w:eastAsia="Times New Roman" w:cstheme="minorHAnsi"/>
          <w:color w:val="000000"/>
          <w:lang w:eastAsia="en-AU"/>
        </w:rPr>
        <w:t xml:space="preserve">. </w:t>
      </w:r>
    </w:p>
    <w:p w:rsidR="00B82ABF" w:rsidRPr="00B82ABF" w:rsidRDefault="00B82ABF" w:rsidP="00B82ABF">
      <w:pPr>
        <w:numPr>
          <w:ilvl w:val="0"/>
          <w:numId w:val="14"/>
        </w:numPr>
        <w:spacing w:after="0"/>
        <w:jc w:val="both"/>
        <w:textAlignment w:val="baseline"/>
        <w:rPr>
          <w:rFonts w:eastAsia="Times New Roman" w:cstheme="minorHAnsi"/>
          <w:lang w:val="en-US"/>
        </w:rPr>
      </w:pPr>
      <w:r w:rsidRPr="00B82ABF">
        <w:rPr>
          <w:rFonts w:eastAsia="Times New Roman" w:cstheme="minorHAnsi"/>
          <w:lang w:val="en-US"/>
        </w:rPr>
        <w:t>Total value of UN-Habitat investments (2008-2013): US$ 22,866,139</w:t>
      </w:r>
    </w:p>
    <w:p w:rsidR="00B82ABF" w:rsidRPr="00B82ABF" w:rsidRDefault="00B82ABF" w:rsidP="00B82ABF">
      <w:pPr>
        <w:numPr>
          <w:ilvl w:val="0"/>
          <w:numId w:val="14"/>
        </w:numPr>
        <w:spacing w:after="0"/>
        <w:jc w:val="both"/>
        <w:textAlignment w:val="baseline"/>
        <w:rPr>
          <w:rFonts w:eastAsia="Times New Roman" w:cstheme="minorHAnsi"/>
          <w:lang w:val="en-US"/>
        </w:rPr>
      </w:pPr>
      <w:r w:rsidRPr="00B82ABF">
        <w:rPr>
          <w:rFonts w:eastAsia="Times New Roman" w:cstheme="minorHAnsi"/>
          <w:lang w:val="en-US"/>
        </w:rPr>
        <w:t>Total number of UN-Habitat projects (2008-2013): 12 projects</w:t>
      </w:r>
    </w:p>
    <w:p w:rsidR="00B82ABF" w:rsidRPr="00B82ABF" w:rsidRDefault="00B82ABF" w:rsidP="00B82ABF">
      <w:pPr>
        <w:numPr>
          <w:ilvl w:val="0"/>
          <w:numId w:val="14"/>
        </w:numPr>
        <w:spacing w:after="0"/>
        <w:jc w:val="both"/>
        <w:textAlignment w:val="baseline"/>
        <w:rPr>
          <w:rFonts w:eastAsia="Times New Roman" w:cstheme="minorHAnsi"/>
          <w:lang w:val="en-US"/>
        </w:rPr>
      </w:pPr>
      <w:r w:rsidRPr="00B82ABF">
        <w:rPr>
          <w:rFonts w:eastAsia="Times New Roman" w:cstheme="minorHAnsi"/>
          <w:lang w:val="en-US"/>
        </w:rPr>
        <w:t>Main donors: United Nations Development Group – Iraq Trust Fund (UNDG-ITF) and the United States Department of State</w:t>
      </w:r>
    </w:p>
    <w:p w:rsidR="00B82ABF" w:rsidRPr="00B82ABF" w:rsidRDefault="00B82ABF" w:rsidP="00B82ABF">
      <w:pPr>
        <w:numPr>
          <w:ilvl w:val="0"/>
          <w:numId w:val="14"/>
        </w:numPr>
        <w:spacing w:after="0"/>
        <w:jc w:val="both"/>
        <w:textAlignment w:val="baseline"/>
        <w:rPr>
          <w:rFonts w:eastAsia="Times New Roman" w:cstheme="minorHAnsi"/>
          <w:lang w:val="en-US"/>
        </w:rPr>
      </w:pPr>
      <w:r w:rsidRPr="00B82ABF">
        <w:rPr>
          <w:rFonts w:eastAsia="Times New Roman" w:cstheme="minorHAnsi"/>
          <w:lang w:val="en-US"/>
        </w:rPr>
        <w:t>Implementing partners: UN agencies, especially UNDP, as well as local government, ministries and other local authorities</w:t>
      </w:r>
    </w:p>
    <w:p w:rsidR="00B82ABF" w:rsidRPr="00B82ABF" w:rsidRDefault="00B82ABF" w:rsidP="00B82ABF">
      <w:pPr>
        <w:spacing w:before="100" w:beforeAutospacing="1" w:after="100" w:afterAutospacing="1"/>
        <w:jc w:val="both"/>
        <w:rPr>
          <w:rFonts w:cstheme="minorHAnsi"/>
          <w:lang w:val="en-US"/>
        </w:rPr>
      </w:pPr>
      <w:r w:rsidRPr="00B82ABF">
        <w:rPr>
          <w:rFonts w:eastAsia="Times New Roman" w:cstheme="minorHAnsi"/>
          <w:szCs w:val="24"/>
          <w:lang w:val="fr-FR" w:eastAsia="en-AU"/>
        </w:rPr>
        <w:t xml:space="preserve">UN-Habitat </w:t>
      </w:r>
      <w:proofErr w:type="spellStart"/>
      <w:r w:rsidRPr="00B82ABF">
        <w:rPr>
          <w:rFonts w:eastAsia="Times New Roman" w:cstheme="minorHAnsi"/>
          <w:szCs w:val="24"/>
          <w:lang w:val="fr-FR" w:eastAsia="en-AU"/>
        </w:rPr>
        <w:t>Projects</w:t>
      </w:r>
      <w:proofErr w:type="spellEnd"/>
      <w:r w:rsidRPr="00B82ABF">
        <w:rPr>
          <w:rFonts w:eastAsia="Times New Roman" w:cstheme="minorHAnsi"/>
          <w:szCs w:val="24"/>
          <w:lang w:val="fr-FR" w:eastAsia="en-AU"/>
        </w:rPr>
        <w:t xml:space="preserve"> in Iraq</w:t>
      </w:r>
      <w:r>
        <w:rPr>
          <w:rFonts w:eastAsia="Times New Roman" w:cstheme="minorHAnsi"/>
          <w:szCs w:val="24"/>
          <w:lang w:val="fr-FR" w:eastAsia="en-AU"/>
        </w:rPr>
        <w:t> </w:t>
      </w:r>
      <w:proofErr w:type="spellStart"/>
      <w:r w:rsidR="00AF309A">
        <w:rPr>
          <w:rFonts w:eastAsia="Times New Roman" w:cstheme="minorHAnsi"/>
          <w:szCs w:val="24"/>
          <w:lang w:val="fr-FR" w:eastAsia="en-AU"/>
        </w:rPr>
        <w:t>include</w:t>
      </w:r>
      <w:proofErr w:type="spellEnd"/>
      <w:r w:rsidR="00AF309A">
        <w:rPr>
          <w:rFonts w:eastAsia="Times New Roman" w:cstheme="minorHAnsi"/>
          <w:szCs w:val="24"/>
          <w:lang w:val="fr-FR" w:eastAsia="en-AU"/>
        </w:rPr>
        <w:t>:</w:t>
      </w:r>
    </w:p>
    <w:p w:rsidR="00B82ABF" w:rsidRPr="00AF309A" w:rsidRDefault="00B82ABF" w:rsidP="00AF309A">
      <w:pPr>
        <w:spacing w:before="100" w:beforeAutospacing="1" w:after="100" w:afterAutospacing="1"/>
        <w:jc w:val="both"/>
        <w:rPr>
          <w:rFonts w:eastAsia="Times New Roman" w:cstheme="minorHAnsi"/>
          <w:szCs w:val="24"/>
          <w:u w:val="single"/>
          <w:lang w:val="en-US" w:eastAsia="en-AU"/>
        </w:rPr>
      </w:pPr>
      <w:r w:rsidRPr="00AF309A">
        <w:rPr>
          <w:rFonts w:eastAsia="Times New Roman" w:cstheme="minorHAnsi"/>
          <w:szCs w:val="24"/>
          <w:u w:val="single"/>
          <w:lang w:val="en-US" w:eastAsia="en-AU"/>
        </w:rPr>
        <w:t>Initiating Durable Shelter Solutions for Iraqi IDPs and Returnees</w:t>
      </w:r>
    </w:p>
    <w:p w:rsidR="00AF309A" w:rsidRDefault="00AF309A" w:rsidP="00AF309A">
      <w:pPr>
        <w:spacing w:before="100" w:beforeAutospacing="1" w:after="100" w:afterAutospacing="1"/>
        <w:jc w:val="both"/>
        <w:rPr>
          <w:rFonts w:eastAsia="Times New Roman" w:cstheme="minorHAnsi"/>
          <w:szCs w:val="24"/>
          <w:lang w:eastAsia="en-AU"/>
        </w:rPr>
      </w:pPr>
      <w:r w:rsidRPr="00AF309A">
        <w:rPr>
          <w:rFonts w:eastAsia="Times New Roman" w:cstheme="minorHAnsi"/>
          <w:szCs w:val="24"/>
          <w:lang w:eastAsia="en-AU"/>
        </w:rPr>
        <w:t>The overall goal of the</w:t>
      </w:r>
      <w:r>
        <w:rPr>
          <w:rFonts w:eastAsia="Times New Roman" w:cstheme="minorHAnsi"/>
          <w:szCs w:val="24"/>
          <w:lang w:eastAsia="en-AU"/>
        </w:rPr>
        <w:t xml:space="preserve"> project was</w:t>
      </w:r>
      <w:r w:rsidRPr="00AF309A">
        <w:rPr>
          <w:rFonts w:eastAsia="Times New Roman" w:cstheme="minorHAnsi"/>
          <w:szCs w:val="24"/>
          <w:lang w:eastAsia="en-AU"/>
        </w:rPr>
        <w:t xml:space="preserve"> to demonstrate how the Government of Iraq and Baghdad Authorities can implement Long Term Shelter Solutions for IDPs and returnees that are currently living in unpla</w:t>
      </w:r>
      <w:r>
        <w:rPr>
          <w:rFonts w:eastAsia="Times New Roman" w:cstheme="minorHAnsi"/>
          <w:szCs w:val="24"/>
          <w:lang w:eastAsia="en-AU"/>
        </w:rPr>
        <w:t xml:space="preserve">nned settlements. The project would </w:t>
      </w:r>
      <w:r w:rsidRPr="00AF309A">
        <w:rPr>
          <w:rFonts w:eastAsia="Times New Roman" w:cstheme="minorHAnsi"/>
          <w:szCs w:val="24"/>
          <w:lang w:eastAsia="en-AU"/>
        </w:rPr>
        <w:t>enable the G</w:t>
      </w:r>
      <w:r>
        <w:rPr>
          <w:rFonts w:eastAsia="Times New Roman" w:cstheme="minorHAnsi"/>
          <w:szCs w:val="24"/>
          <w:lang w:eastAsia="en-AU"/>
        </w:rPr>
        <w:t xml:space="preserve">overnment of </w:t>
      </w:r>
      <w:r w:rsidRPr="00AF309A">
        <w:rPr>
          <w:rFonts w:eastAsia="Times New Roman" w:cstheme="minorHAnsi"/>
          <w:szCs w:val="24"/>
          <w:lang w:eastAsia="en-AU"/>
        </w:rPr>
        <w:t>I</w:t>
      </w:r>
      <w:r>
        <w:rPr>
          <w:rFonts w:eastAsia="Times New Roman" w:cstheme="minorHAnsi"/>
          <w:szCs w:val="24"/>
          <w:lang w:eastAsia="en-AU"/>
        </w:rPr>
        <w:t>raq</w:t>
      </w:r>
      <w:r w:rsidRPr="00AF309A">
        <w:rPr>
          <w:rFonts w:eastAsia="Times New Roman" w:cstheme="minorHAnsi"/>
          <w:szCs w:val="24"/>
          <w:lang w:eastAsia="en-AU"/>
        </w:rPr>
        <w:t xml:space="preserve"> to take concrete steps to implement the Shelter Strategy that was developed in conjunction with UN-HABITAT, both by developing institutional capacity and testing this capacity in various pilot effo</w:t>
      </w:r>
      <w:r>
        <w:rPr>
          <w:rFonts w:eastAsia="Times New Roman" w:cstheme="minorHAnsi"/>
          <w:szCs w:val="24"/>
          <w:lang w:eastAsia="en-AU"/>
        </w:rPr>
        <w:t>rts. The total approved budget wa</w:t>
      </w:r>
      <w:r w:rsidRPr="00AF309A">
        <w:rPr>
          <w:rFonts w:eastAsia="Times New Roman" w:cstheme="minorHAnsi"/>
          <w:szCs w:val="24"/>
          <w:lang w:eastAsia="en-AU"/>
        </w:rPr>
        <w:t>s US $ 3 Million funded bilaterally by the US Department of State.</w:t>
      </w:r>
    </w:p>
    <w:p w:rsidR="00DE51E5" w:rsidRPr="00DE51E5" w:rsidRDefault="00DE51E5" w:rsidP="00FD1A93">
      <w:pPr>
        <w:spacing w:before="100" w:beforeAutospacing="1" w:after="100" w:afterAutospacing="1"/>
        <w:jc w:val="both"/>
        <w:rPr>
          <w:rFonts w:eastAsia="Times New Roman" w:cstheme="minorHAnsi"/>
          <w:szCs w:val="24"/>
          <w:u w:val="single"/>
          <w:lang w:eastAsia="en-AU"/>
        </w:rPr>
      </w:pPr>
      <w:r w:rsidRPr="00DE51E5">
        <w:rPr>
          <w:rFonts w:eastAsia="Times New Roman" w:cstheme="minorHAnsi"/>
          <w:szCs w:val="24"/>
          <w:u w:val="single"/>
          <w:lang w:eastAsia="en-AU"/>
        </w:rPr>
        <w:t>Improving Quality and Relevance of Technical and Vocational Education</w:t>
      </w:r>
      <w:r w:rsidR="00D371D4">
        <w:rPr>
          <w:rFonts w:eastAsia="Times New Roman" w:cstheme="minorHAnsi"/>
          <w:szCs w:val="24"/>
          <w:u w:val="single"/>
          <w:lang w:eastAsia="en-AU"/>
        </w:rPr>
        <w:t xml:space="preserve"> (2007-2009)</w:t>
      </w:r>
    </w:p>
    <w:p w:rsidR="00D371D4" w:rsidRDefault="00DE51E5" w:rsidP="00DE51E5">
      <w:pPr>
        <w:spacing w:before="100" w:beforeAutospacing="1" w:after="100" w:afterAutospacing="1"/>
        <w:jc w:val="both"/>
        <w:rPr>
          <w:rFonts w:eastAsia="Times New Roman" w:cstheme="minorHAnsi"/>
          <w:szCs w:val="24"/>
          <w:lang w:eastAsia="en-AU"/>
        </w:rPr>
      </w:pPr>
      <w:r>
        <w:rPr>
          <w:rFonts w:eastAsia="Times New Roman" w:cstheme="minorHAnsi"/>
          <w:szCs w:val="24"/>
          <w:lang w:eastAsia="en-AU"/>
        </w:rPr>
        <w:t>This programme aimed</w:t>
      </w:r>
      <w:r w:rsidRPr="00DE51E5">
        <w:rPr>
          <w:rFonts w:eastAsia="Times New Roman" w:cstheme="minorHAnsi"/>
          <w:szCs w:val="24"/>
          <w:lang w:eastAsia="en-AU"/>
        </w:rPr>
        <w:t xml:space="preserve"> at developing an effective, relevant, and quality Technical and Vocational Education and Training (TVET) system in Iraq.</w:t>
      </w:r>
      <w:r>
        <w:rPr>
          <w:rFonts w:eastAsia="Times New Roman" w:cstheme="minorHAnsi"/>
          <w:szCs w:val="24"/>
          <w:lang w:eastAsia="en-AU"/>
        </w:rPr>
        <w:t xml:space="preserve"> The TVET stakeholders would </w:t>
      </w:r>
      <w:r w:rsidRPr="00DE51E5">
        <w:rPr>
          <w:rFonts w:eastAsia="Times New Roman" w:cstheme="minorHAnsi"/>
          <w:szCs w:val="24"/>
          <w:lang w:eastAsia="en-AU"/>
        </w:rPr>
        <w:t>be capacitated to deliver flexible and demand-driven training programmes that meet the needs of</w:t>
      </w:r>
      <w:r>
        <w:rPr>
          <w:rFonts w:eastAsia="Times New Roman" w:cstheme="minorHAnsi"/>
          <w:szCs w:val="24"/>
          <w:lang w:eastAsia="en-AU"/>
        </w:rPr>
        <w:t xml:space="preserve"> the</w:t>
      </w:r>
      <w:r w:rsidRPr="00DE51E5">
        <w:rPr>
          <w:rFonts w:eastAsia="Times New Roman" w:cstheme="minorHAnsi"/>
          <w:szCs w:val="24"/>
          <w:lang w:eastAsia="en-AU"/>
        </w:rPr>
        <w:t xml:space="preserve"> indust</w:t>
      </w:r>
      <w:r>
        <w:rPr>
          <w:rFonts w:eastAsia="Times New Roman" w:cstheme="minorHAnsi"/>
          <w:szCs w:val="24"/>
          <w:lang w:eastAsia="en-AU"/>
        </w:rPr>
        <w:t>ry and the labour market. It would</w:t>
      </w:r>
      <w:r w:rsidRPr="00DE51E5">
        <w:rPr>
          <w:rFonts w:eastAsia="Times New Roman" w:cstheme="minorHAnsi"/>
          <w:szCs w:val="24"/>
          <w:lang w:eastAsia="en-AU"/>
        </w:rPr>
        <w:t xml:space="preserve"> also support the rehabilitation and modernisation of the training by re-orienting and improving the system so that it prepares young people effectively for wage and self-employment in the industrial, construction and service sectors of the economy.</w:t>
      </w:r>
      <w:r>
        <w:rPr>
          <w:rFonts w:eastAsia="Times New Roman" w:cstheme="minorHAnsi"/>
          <w:szCs w:val="24"/>
          <w:lang w:eastAsia="en-AU"/>
        </w:rPr>
        <w:t xml:space="preserve"> </w:t>
      </w:r>
    </w:p>
    <w:p w:rsidR="00DE51E5" w:rsidRPr="00D371D4" w:rsidRDefault="00D371D4" w:rsidP="00DE51E5">
      <w:pPr>
        <w:spacing w:before="100" w:beforeAutospacing="1" w:after="100" w:afterAutospacing="1"/>
        <w:jc w:val="both"/>
        <w:rPr>
          <w:rFonts w:eastAsia="Times New Roman" w:cstheme="minorHAnsi"/>
          <w:szCs w:val="24"/>
          <w:lang w:eastAsia="en-AU"/>
        </w:rPr>
      </w:pPr>
      <w:r>
        <w:rPr>
          <w:rFonts w:eastAsia="Times New Roman" w:cstheme="minorHAnsi"/>
          <w:szCs w:val="24"/>
          <w:lang w:val="en-US" w:eastAsia="en-AU"/>
        </w:rPr>
        <w:t xml:space="preserve">UN HABITAT </w:t>
      </w:r>
      <w:r w:rsidR="00DE51E5" w:rsidRPr="00DE51E5">
        <w:rPr>
          <w:rFonts w:eastAsia="Times New Roman" w:cstheme="minorHAnsi"/>
          <w:szCs w:val="24"/>
          <w:lang w:val="en-US" w:eastAsia="en-AU"/>
        </w:rPr>
        <w:t>concluded two consultations with the Foundation of Technical Education and Ministry of Education on the detailed scope of the capacity building for curriculum development in the construction sector.</w:t>
      </w:r>
    </w:p>
    <w:p w:rsidR="00DE51E5" w:rsidRPr="00D371D4" w:rsidRDefault="00D371D4" w:rsidP="00FD1A93">
      <w:pPr>
        <w:spacing w:before="100" w:beforeAutospacing="1" w:after="100" w:afterAutospacing="1"/>
        <w:jc w:val="both"/>
        <w:rPr>
          <w:rFonts w:eastAsia="Times New Roman" w:cstheme="minorHAnsi"/>
          <w:szCs w:val="24"/>
          <w:u w:val="single"/>
          <w:lang w:eastAsia="en-AU"/>
        </w:rPr>
      </w:pPr>
      <w:r w:rsidRPr="00D371D4">
        <w:rPr>
          <w:rFonts w:eastAsia="Times New Roman" w:cstheme="minorHAnsi"/>
          <w:szCs w:val="24"/>
          <w:u w:val="single"/>
          <w:lang w:eastAsia="en-AU"/>
        </w:rPr>
        <w:t>Local Government Association and Urban Development Capacity Building</w:t>
      </w:r>
      <w:r>
        <w:rPr>
          <w:rFonts w:eastAsia="Times New Roman" w:cstheme="minorHAnsi"/>
          <w:szCs w:val="24"/>
          <w:u w:val="single"/>
          <w:lang w:eastAsia="en-AU"/>
        </w:rPr>
        <w:t xml:space="preserve"> (2008-2009)</w:t>
      </w:r>
    </w:p>
    <w:p w:rsidR="00D371D4" w:rsidRDefault="00D371D4" w:rsidP="00FD1A93">
      <w:pPr>
        <w:spacing w:before="100" w:beforeAutospacing="1" w:after="100" w:afterAutospacing="1"/>
        <w:jc w:val="both"/>
        <w:rPr>
          <w:rFonts w:eastAsia="Times New Roman" w:cstheme="minorHAnsi"/>
          <w:szCs w:val="24"/>
          <w:lang w:eastAsia="en-AU"/>
        </w:rPr>
      </w:pPr>
      <w:r w:rsidRPr="00D371D4">
        <w:rPr>
          <w:rFonts w:eastAsia="Times New Roman" w:cstheme="minorHAnsi"/>
          <w:szCs w:val="24"/>
          <w:lang w:eastAsia="en-AU"/>
        </w:rPr>
        <w:t>Following the Urban Sector Project, the Ministry of Municipalities and Public Works</w:t>
      </w:r>
      <w:r>
        <w:rPr>
          <w:rFonts w:eastAsia="Times New Roman" w:cstheme="minorHAnsi"/>
          <w:szCs w:val="24"/>
          <w:lang w:eastAsia="en-AU"/>
        </w:rPr>
        <w:t xml:space="preserve"> (</w:t>
      </w:r>
      <w:proofErr w:type="spellStart"/>
      <w:r w:rsidRPr="00D371D4">
        <w:rPr>
          <w:rFonts w:eastAsia="Times New Roman" w:cstheme="minorHAnsi"/>
          <w:szCs w:val="24"/>
          <w:lang w:eastAsia="en-AU"/>
        </w:rPr>
        <w:t>MoMPW</w:t>
      </w:r>
      <w:proofErr w:type="spellEnd"/>
      <w:r>
        <w:rPr>
          <w:rFonts w:eastAsia="Times New Roman" w:cstheme="minorHAnsi"/>
          <w:szCs w:val="24"/>
          <w:lang w:eastAsia="en-AU"/>
        </w:rPr>
        <w:t>)</w:t>
      </w:r>
      <w:r w:rsidRPr="00D371D4">
        <w:rPr>
          <w:rFonts w:eastAsia="Times New Roman" w:cstheme="minorHAnsi"/>
          <w:szCs w:val="24"/>
          <w:lang w:eastAsia="en-AU"/>
        </w:rPr>
        <w:t xml:space="preserve"> and other stakeholders expressed the opinion that Iraq’s 251 municipalities would benefit from the establishment of a municipal association and that the 250 planning staff in the Physical Planning and </w:t>
      </w:r>
      <w:r w:rsidRPr="00D371D4">
        <w:rPr>
          <w:rFonts w:eastAsia="Times New Roman" w:cstheme="minorHAnsi"/>
          <w:szCs w:val="24"/>
          <w:lang w:eastAsia="en-AU"/>
        </w:rPr>
        <w:lastRenderedPageBreak/>
        <w:t>Municipalities Directorates were in urgent need of more detailed technical training so they could carry out urban planning, reconstruction and development control more effectively.</w:t>
      </w:r>
    </w:p>
    <w:p w:rsidR="00D371D4" w:rsidRPr="00D371D4" w:rsidRDefault="00D371D4" w:rsidP="00FD1A93">
      <w:pPr>
        <w:spacing w:before="100" w:beforeAutospacing="1" w:after="100" w:afterAutospacing="1"/>
        <w:jc w:val="both"/>
        <w:rPr>
          <w:rFonts w:eastAsia="Times New Roman" w:cstheme="minorHAnsi"/>
          <w:szCs w:val="24"/>
          <w:u w:val="single"/>
          <w:lang w:eastAsia="en-AU"/>
        </w:rPr>
      </w:pPr>
      <w:r w:rsidRPr="00D371D4">
        <w:rPr>
          <w:rFonts w:eastAsia="Times New Roman" w:cstheme="minorHAnsi"/>
          <w:bCs/>
          <w:szCs w:val="24"/>
          <w:u w:val="single"/>
          <w:lang w:eastAsia="en-AU"/>
        </w:rPr>
        <w:t>Rehabilitation of Schools</w:t>
      </w:r>
      <w:r>
        <w:rPr>
          <w:rFonts w:eastAsia="Times New Roman" w:cstheme="minorHAnsi"/>
          <w:bCs/>
          <w:szCs w:val="24"/>
          <w:u w:val="single"/>
          <w:lang w:eastAsia="en-AU"/>
        </w:rPr>
        <w:t xml:space="preserve"> (Phase I and II) (2004-2006)</w:t>
      </w:r>
    </w:p>
    <w:p w:rsidR="00D371D4" w:rsidRDefault="00D371D4" w:rsidP="00FD1A93">
      <w:pPr>
        <w:spacing w:before="100" w:beforeAutospacing="1" w:after="100" w:afterAutospacing="1"/>
        <w:jc w:val="both"/>
        <w:rPr>
          <w:rFonts w:eastAsia="Times New Roman" w:cstheme="minorHAnsi"/>
          <w:szCs w:val="24"/>
          <w:lang w:eastAsia="en-AU"/>
        </w:rPr>
      </w:pPr>
      <w:r w:rsidRPr="00D371D4">
        <w:rPr>
          <w:rFonts w:eastAsia="Times New Roman" w:cstheme="minorHAnsi"/>
          <w:szCs w:val="24"/>
          <w:lang w:eastAsia="en-AU"/>
        </w:rPr>
        <w:t>Schools, like other public buildings, were the target of destruction, burning, looting and neglect during recent and past conflicts in Iraq and during the economic sanctions regime.</w:t>
      </w:r>
      <w:r w:rsidRPr="00D371D4">
        <w:rPr>
          <w:rFonts w:ascii="Verdana" w:hAnsi="Verdana"/>
          <w:color w:val="333333"/>
          <w:sz w:val="18"/>
          <w:szCs w:val="18"/>
        </w:rPr>
        <w:t xml:space="preserve"> </w:t>
      </w:r>
      <w:r w:rsidRPr="00D371D4">
        <w:rPr>
          <w:rFonts w:eastAsia="Times New Roman" w:cstheme="minorHAnsi"/>
          <w:szCs w:val="24"/>
          <w:lang w:eastAsia="en-AU"/>
        </w:rPr>
        <w:t>The objective of the emergency sc</w:t>
      </w:r>
      <w:r>
        <w:rPr>
          <w:rFonts w:eastAsia="Times New Roman" w:cstheme="minorHAnsi"/>
          <w:szCs w:val="24"/>
          <w:lang w:eastAsia="en-AU"/>
        </w:rPr>
        <w:t>hool rehabilitation programme was</w:t>
      </w:r>
      <w:r w:rsidRPr="00D371D4">
        <w:rPr>
          <w:rFonts w:eastAsia="Times New Roman" w:cstheme="minorHAnsi"/>
          <w:szCs w:val="24"/>
          <w:lang w:eastAsia="en-AU"/>
        </w:rPr>
        <w:t xml:space="preserve"> to contribute to the reconstruction efforts in Iraq through the rehabilitation of schools in order to provide a more suitable learning environment for students. </w:t>
      </w:r>
    </w:p>
    <w:p w:rsidR="00D371D4" w:rsidRDefault="00D371D4" w:rsidP="00FD1A93">
      <w:pPr>
        <w:spacing w:before="100" w:beforeAutospacing="1" w:after="100" w:afterAutospacing="1"/>
        <w:jc w:val="both"/>
        <w:rPr>
          <w:rFonts w:eastAsia="Times New Roman" w:cstheme="minorHAnsi"/>
          <w:szCs w:val="24"/>
          <w:lang w:eastAsia="en-AU"/>
        </w:rPr>
      </w:pPr>
      <w:r>
        <w:rPr>
          <w:rFonts w:eastAsia="Times New Roman" w:cstheme="minorHAnsi"/>
          <w:szCs w:val="24"/>
          <w:lang w:eastAsia="en-AU"/>
        </w:rPr>
        <w:t>This activity wa</w:t>
      </w:r>
      <w:r w:rsidRPr="00D371D4">
        <w:rPr>
          <w:rFonts w:eastAsia="Times New Roman" w:cstheme="minorHAnsi"/>
          <w:szCs w:val="24"/>
          <w:lang w:eastAsia="en-AU"/>
        </w:rPr>
        <w:t>s part of a longer-term plan to make school buildings in Iraq functionally efficient.</w:t>
      </w:r>
      <w:r w:rsidRPr="00D371D4">
        <w:rPr>
          <w:rFonts w:ascii="Verdana" w:hAnsi="Verdana"/>
          <w:color w:val="333333"/>
          <w:sz w:val="18"/>
          <w:szCs w:val="18"/>
        </w:rPr>
        <w:t xml:space="preserve"> </w:t>
      </w:r>
      <w:r>
        <w:rPr>
          <w:rFonts w:eastAsia="Times New Roman" w:cstheme="minorHAnsi"/>
          <w:szCs w:val="24"/>
          <w:lang w:eastAsia="en-AU"/>
        </w:rPr>
        <w:t xml:space="preserve">The project aimed </w:t>
      </w:r>
      <w:r w:rsidRPr="00D371D4">
        <w:rPr>
          <w:rFonts w:eastAsia="Times New Roman" w:cstheme="minorHAnsi"/>
          <w:szCs w:val="24"/>
          <w:lang w:eastAsia="en-AU"/>
        </w:rPr>
        <w:t xml:space="preserve">to achieve full rehabilitation of 85 schools, basic rehabilitation of 55 schools, and furniture rehabilitation of a further 60 schools in Baghdad, Basra and </w:t>
      </w:r>
      <w:proofErr w:type="spellStart"/>
      <w:r w:rsidRPr="00D371D4">
        <w:rPr>
          <w:rFonts w:eastAsia="Times New Roman" w:cstheme="minorHAnsi"/>
          <w:szCs w:val="24"/>
          <w:lang w:eastAsia="en-AU"/>
        </w:rPr>
        <w:t>Samawah</w:t>
      </w:r>
      <w:proofErr w:type="spellEnd"/>
      <w:r w:rsidRPr="00D371D4">
        <w:rPr>
          <w:rFonts w:eastAsia="Times New Roman" w:cstheme="minorHAnsi"/>
          <w:szCs w:val="24"/>
          <w:lang w:eastAsia="en-AU"/>
        </w:rPr>
        <w:t>.</w:t>
      </w:r>
      <w:r>
        <w:rPr>
          <w:rFonts w:eastAsia="Times New Roman" w:cstheme="minorHAnsi"/>
          <w:szCs w:val="24"/>
          <w:lang w:eastAsia="en-AU"/>
        </w:rPr>
        <w:t xml:space="preserve"> </w:t>
      </w:r>
    </w:p>
    <w:p w:rsidR="00D371D4" w:rsidRPr="00D371D4" w:rsidRDefault="00D371D4" w:rsidP="00FD1A93">
      <w:pPr>
        <w:spacing w:before="100" w:beforeAutospacing="1" w:after="100" w:afterAutospacing="1"/>
        <w:jc w:val="both"/>
        <w:rPr>
          <w:rFonts w:eastAsia="Times New Roman" w:cstheme="minorHAnsi"/>
          <w:szCs w:val="24"/>
          <w:u w:val="single"/>
          <w:lang w:eastAsia="en-AU"/>
        </w:rPr>
      </w:pPr>
      <w:r w:rsidRPr="00D371D4">
        <w:rPr>
          <w:rFonts w:eastAsia="Times New Roman" w:cstheme="minorHAnsi"/>
          <w:bCs/>
          <w:szCs w:val="24"/>
          <w:u w:val="single"/>
          <w:lang w:eastAsia="en-AU"/>
        </w:rPr>
        <w:t>Strengthening the Capacit</w:t>
      </w:r>
      <w:r>
        <w:rPr>
          <w:rFonts w:eastAsia="Times New Roman" w:cstheme="minorHAnsi"/>
          <w:bCs/>
          <w:szCs w:val="24"/>
          <w:u w:val="single"/>
          <w:lang w:eastAsia="en-AU"/>
        </w:rPr>
        <w:t>y of the Housing Sector (Phase I and II</w:t>
      </w:r>
      <w:r w:rsidRPr="00D371D4">
        <w:rPr>
          <w:rFonts w:eastAsia="Times New Roman" w:cstheme="minorHAnsi"/>
          <w:bCs/>
          <w:szCs w:val="24"/>
          <w:u w:val="single"/>
          <w:lang w:eastAsia="en-AU"/>
        </w:rPr>
        <w:t>)</w:t>
      </w:r>
      <w:r>
        <w:rPr>
          <w:rFonts w:eastAsia="Times New Roman" w:cstheme="minorHAnsi"/>
          <w:bCs/>
          <w:szCs w:val="24"/>
          <w:u w:val="single"/>
          <w:lang w:eastAsia="en-AU"/>
        </w:rPr>
        <w:t xml:space="preserve"> (2004-2009)</w:t>
      </w:r>
    </w:p>
    <w:p w:rsidR="002D5228" w:rsidRDefault="00D371D4" w:rsidP="00FD1A93">
      <w:pPr>
        <w:spacing w:before="100" w:beforeAutospacing="1" w:after="100" w:afterAutospacing="1"/>
        <w:jc w:val="both"/>
        <w:rPr>
          <w:rFonts w:eastAsia="Times New Roman" w:cstheme="minorHAnsi"/>
          <w:szCs w:val="24"/>
          <w:lang w:eastAsia="en-AU"/>
        </w:rPr>
      </w:pPr>
      <w:r w:rsidRPr="00D371D4">
        <w:rPr>
          <w:rFonts w:eastAsia="Times New Roman" w:cstheme="minorHAnsi"/>
          <w:szCs w:val="24"/>
          <w:lang w:eastAsia="en-AU"/>
        </w:rPr>
        <w:t xml:space="preserve">The </w:t>
      </w:r>
      <w:r w:rsidR="002D5228">
        <w:rPr>
          <w:rFonts w:eastAsia="Times New Roman" w:cstheme="minorHAnsi"/>
          <w:szCs w:val="24"/>
          <w:lang w:eastAsia="en-AU"/>
        </w:rPr>
        <w:t xml:space="preserve">first phase of the </w:t>
      </w:r>
      <w:r w:rsidRPr="00D371D4">
        <w:rPr>
          <w:rFonts w:eastAsia="Times New Roman" w:cstheme="minorHAnsi"/>
          <w:szCs w:val="24"/>
          <w:lang w:eastAsia="en-AU"/>
        </w:rPr>
        <w:t>projec</w:t>
      </w:r>
      <w:r w:rsidR="002D5228">
        <w:rPr>
          <w:rFonts w:eastAsia="Times New Roman" w:cstheme="minorHAnsi"/>
          <w:szCs w:val="24"/>
          <w:lang w:eastAsia="en-AU"/>
        </w:rPr>
        <w:t xml:space="preserve">t started in late 2004 and was to </w:t>
      </w:r>
      <w:r w:rsidRPr="00D371D4">
        <w:rPr>
          <w:rFonts w:eastAsia="Times New Roman" w:cstheme="minorHAnsi"/>
          <w:szCs w:val="24"/>
          <w:lang w:eastAsia="en-AU"/>
        </w:rPr>
        <w:t xml:space="preserve">be completed in mid-2006. </w:t>
      </w:r>
      <w:r w:rsidR="002D5228">
        <w:rPr>
          <w:rFonts w:eastAsia="Times New Roman" w:cstheme="minorHAnsi"/>
          <w:szCs w:val="24"/>
          <w:lang w:eastAsia="en-AU"/>
        </w:rPr>
        <w:t xml:space="preserve">The second phase was to be completed in 2009. The project </w:t>
      </w:r>
      <w:r w:rsidRPr="00D371D4">
        <w:rPr>
          <w:rFonts w:eastAsia="Times New Roman" w:cstheme="minorHAnsi"/>
          <w:szCs w:val="24"/>
          <w:lang w:eastAsia="en-AU"/>
        </w:rPr>
        <w:t>not only achieved to put the housing sector at the centre of Iraq's National Development Agenda, but</w:t>
      </w:r>
      <w:r w:rsidR="002D5228">
        <w:rPr>
          <w:rFonts w:eastAsia="Times New Roman" w:cstheme="minorHAnsi"/>
          <w:szCs w:val="24"/>
          <w:lang w:eastAsia="en-AU"/>
        </w:rPr>
        <w:t xml:space="preserve"> also undertook</w:t>
      </w:r>
      <w:r w:rsidRPr="00D371D4">
        <w:rPr>
          <w:rFonts w:eastAsia="Times New Roman" w:cstheme="minorHAnsi"/>
          <w:szCs w:val="24"/>
          <w:lang w:eastAsia="en-AU"/>
        </w:rPr>
        <w:t xml:space="preserve"> a massive and successful programme of training, capacity building, and policy dialogue. </w:t>
      </w:r>
    </w:p>
    <w:p w:rsidR="00D371D4" w:rsidRDefault="002D5228" w:rsidP="00FD1A93">
      <w:pPr>
        <w:spacing w:before="100" w:beforeAutospacing="1" w:after="100" w:afterAutospacing="1"/>
        <w:jc w:val="both"/>
        <w:rPr>
          <w:rFonts w:eastAsia="Times New Roman" w:cstheme="minorHAnsi"/>
          <w:szCs w:val="24"/>
          <w:lang w:eastAsia="en-AU"/>
        </w:rPr>
      </w:pPr>
      <w:r>
        <w:rPr>
          <w:rFonts w:eastAsia="Times New Roman" w:cstheme="minorHAnsi"/>
          <w:szCs w:val="24"/>
          <w:lang w:eastAsia="en-AU"/>
        </w:rPr>
        <w:t xml:space="preserve">The project assisted </w:t>
      </w:r>
      <w:r w:rsidR="00D371D4" w:rsidRPr="00D371D4">
        <w:rPr>
          <w:rFonts w:eastAsia="Times New Roman" w:cstheme="minorHAnsi"/>
          <w:szCs w:val="24"/>
          <w:lang w:eastAsia="en-AU"/>
        </w:rPr>
        <w:t>the Ministry with the much-needed formulation of a housing finan</w:t>
      </w:r>
      <w:r>
        <w:rPr>
          <w:rFonts w:eastAsia="Times New Roman" w:cstheme="minorHAnsi"/>
          <w:szCs w:val="24"/>
          <w:lang w:eastAsia="en-AU"/>
        </w:rPr>
        <w:t xml:space="preserve">ce strategy. The project was also </w:t>
      </w:r>
      <w:r w:rsidR="00D371D4" w:rsidRPr="00D371D4">
        <w:rPr>
          <w:rFonts w:eastAsia="Times New Roman" w:cstheme="minorHAnsi"/>
          <w:szCs w:val="24"/>
          <w:lang w:eastAsia="en-AU"/>
        </w:rPr>
        <w:t>instrumental in catalysing Iraqi efforts to achieve MDG 7, Target 11 by supporting the development of a Slum Upgrading Strategy and having the government allocate a sizeable financial allocation from its budget for 2005 and 2006 to slum upgr</w:t>
      </w:r>
      <w:r>
        <w:rPr>
          <w:rFonts w:eastAsia="Times New Roman" w:cstheme="minorHAnsi"/>
          <w:szCs w:val="24"/>
          <w:lang w:eastAsia="en-AU"/>
        </w:rPr>
        <w:t>ading. In addition, the project</w:t>
      </w:r>
      <w:r w:rsidR="00D371D4" w:rsidRPr="00D371D4">
        <w:rPr>
          <w:rFonts w:eastAsia="Times New Roman" w:cstheme="minorHAnsi"/>
          <w:szCs w:val="24"/>
          <w:lang w:eastAsia="en-AU"/>
        </w:rPr>
        <w:t xml:space="preserve"> started a comprehensive collection of critical baseline data to inform the housing and housing finance sectors (the Housing Market Study).</w:t>
      </w:r>
    </w:p>
    <w:p w:rsidR="002D5228" w:rsidRPr="002D5228" w:rsidRDefault="002D5228" w:rsidP="002D5228">
      <w:pPr>
        <w:spacing w:before="100" w:beforeAutospacing="1" w:after="100" w:afterAutospacing="1"/>
        <w:jc w:val="both"/>
        <w:rPr>
          <w:rFonts w:eastAsia="Times New Roman" w:cstheme="minorHAnsi"/>
          <w:szCs w:val="24"/>
          <w:u w:val="single"/>
          <w:lang w:val="en-US" w:eastAsia="en-AU"/>
        </w:rPr>
      </w:pPr>
      <w:r w:rsidRPr="002D5228">
        <w:rPr>
          <w:rFonts w:eastAsia="Times New Roman" w:cstheme="minorHAnsi"/>
          <w:szCs w:val="24"/>
          <w:u w:val="single"/>
          <w:lang w:val="en-US" w:eastAsia="en-AU"/>
        </w:rPr>
        <w:t>Private Sector Development Project for Iraq</w:t>
      </w:r>
      <w:r>
        <w:rPr>
          <w:rFonts w:eastAsia="Times New Roman" w:cstheme="minorHAnsi"/>
          <w:szCs w:val="24"/>
          <w:u w:val="single"/>
          <w:lang w:val="en-US" w:eastAsia="en-AU"/>
        </w:rPr>
        <w:t xml:space="preserve"> (Phase I and II) (2010-2013)</w:t>
      </w:r>
    </w:p>
    <w:p w:rsidR="002D5228" w:rsidRDefault="002D5228" w:rsidP="00FD1A93">
      <w:pPr>
        <w:spacing w:before="100" w:beforeAutospacing="1" w:after="100" w:afterAutospacing="1"/>
        <w:jc w:val="both"/>
        <w:rPr>
          <w:rFonts w:eastAsia="Times New Roman" w:cstheme="minorHAnsi"/>
          <w:szCs w:val="24"/>
          <w:lang w:eastAsia="en-AU"/>
        </w:rPr>
      </w:pPr>
      <w:r w:rsidRPr="002D5228">
        <w:rPr>
          <w:rFonts w:eastAsia="Times New Roman" w:cstheme="minorHAnsi"/>
          <w:szCs w:val="24"/>
          <w:lang w:eastAsia="en-AU"/>
        </w:rPr>
        <w:t xml:space="preserve">The Private Sector Development </w:t>
      </w:r>
      <w:r>
        <w:rPr>
          <w:rFonts w:eastAsia="Times New Roman" w:cstheme="minorHAnsi"/>
          <w:szCs w:val="24"/>
          <w:lang w:eastAsia="en-AU"/>
        </w:rPr>
        <w:t xml:space="preserve">Programme for Iraq (PSDP-I) sought </w:t>
      </w:r>
      <w:r w:rsidRPr="002D5228">
        <w:rPr>
          <w:rFonts w:eastAsia="Times New Roman" w:cstheme="minorHAnsi"/>
          <w:szCs w:val="24"/>
          <w:lang w:eastAsia="en-AU"/>
        </w:rPr>
        <w:t>to create and enable an effective framework for private sector development acros</w:t>
      </w:r>
      <w:r>
        <w:rPr>
          <w:rFonts w:eastAsia="Times New Roman" w:cstheme="minorHAnsi"/>
          <w:szCs w:val="24"/>
          <w:lang w:eastAsia="en-AU"/>
        </w:rPr>
        <w:t xml:space="preserve">s Iraq. The programme addressed </w:t>
      </w:r>
      <w:r w:rsidRPr="002D5228">
        <w:rPr>
          <w:rFonts w:eastAsia="Times New Roman" w:cstheme="minorHAnsi"/>
          <w:szCs w:val="24"/>
          <w:lang w:eastAsia="en-AU"/>
        </w:rPr>
        <w:t xml:space="preserve">national and local needs, with activities in three priority governorates, </w:t>
      </w:r>
      <w:proofErr w:type="spellStart"/>
      <w:r w:rsidRPr="002D5228">
        <w:rPr>
          <w:rFonts w:eastAsia="Times New Roman" w:cstheme="minorHAnsi"/>
          <w:szCs w:val="24"/>
          <w:lang w:eastAsia="en-AU"/>
        </w:rPr>
        <w:t>Basrah</w:t>
      </w:r>
      <w:proofErr w:type="spellEnd"/>
      <w:r w:rsidRPr="002D5228">
        <w:rPr>
          <w:rFonts w:eastAsia="Times New Roman" w:cstheme="minorHAnsi"/>
          <w:szCs w:val="24"/>
          <w:lang w:eastAsia="en-AU"/>
        </w:rPr>
        <w:t>, Anbar and Erbil. </w:t>
      </w:r>
    </w:p>
    <w:p w:rsidR="00DE51E5" w:rsidRPr="00AF309A" w:rsidRDefault="001A3F23" w:rsidP="00DE51E5">
      <w:pPr>
        <w:spacing w:before="100" w:beforeAutospacing="1" w:after="100" w:afterAutospacing="1"/>
        <w:jc w:val="both"/>
        <w:rPr>
          <w:rFonts w:eastAsia="Times New Roman" w:cstheme="minorHAnsi"/>
          <w:szCs w:val="24"/>
          <w:u w:val="single"/>
          <w:lang w:val="en-US" w:eastAsia="en-AU"/>
        </w:rPr>
      </w:pPr>
      <w:r>
        <w:rPr>
          <w:rFonts w:eastAsia="Times New Roman" w:cstheme="minorHAnsi"/>
          <w:szCs w:val="24"/>
          <w:lang w:eastAsia="en-AU"/>
        </w:rPr>
        <w:t xml:space="preserve"> </w:t>
      </w:r>
      <w:r w:rsidR="00DE51E5" w:rsidRPr="00AF309A">
        <w:rPr>
          <w:rFonts w:eastAsia="Times New Roman" w:cstheme="minorHAnsi"/>
          <w:szCs w:val="24"/>
          <w:u w:val="single"/>
          <w:lang w:val="en-US" w:eastAsia="en-AU"/>
        </w:rPr>
        <w:t>Improving the Housing Delivery System in Erbil</w:t>
      </w:r>
    </w:p>
    <w:p w:rsidR="00DE51E5" w:rsidRPr="00B95519" w:rsidRDefault="00DE51E5" w:rsidP="00DE51E5">
      <w:pPr>
        <w:spacing w:before="100" w:beforeAutospacing="1" w:after="100" w:afterAutospacing="1"/>
        <w:jc w:val="both"/>
        <w:rPr>
          <w:rFonts w:eastAsia="Times New Roman" w:cstheme="minorHAnsi"/>
          <w:szCs w:val="24"/>
          <w:lang w:eastAsia="en-AU"/>
        </w:rPr>
      </w:pPr>
      <w:r>
        <w:rPr>
          <w:rFonts w:eastAsia="Times New Roman" w:cstheme="minorHAnsi"/>
          <w:szCs w:val="24"/>
          <w:lang w:eastAsia="en-AU"/>
        </w:rPr>
        <w:t xml:space="preserve">This was a </w:t>
      </w:r>
      <w:r w:rsidRPr="00AF309A">
        <w:rPr>
          <w:rFonts w:eastAsia="Times New Roman" w:cstheme="minorHAnsi"/>
          <w:szCs w:val="24"/>
          <w:lang w:eastAsia="en-AU"/>
        </w:rPr>
        <w:t xml:space="preserve">UN-HABITAT and UNDP </w:t>
      </w:r>
      <w:r>
        <w:rPr>
          <w:rFonts w:eastAsia="Times New Roman" w:cstheme="minorHAnsi"/>
          <w:szCs w:val="24"/>
          <w:lang w:eastAsia="en-AU"/>
        </w:rPr>
        <w:t xml:space="preserve">project </w:t>
      </w:r>
      <w:r w:rsidRPr="00AF309A">
        <w:rPr>
          <w:rFonts w:eastAsia="Times New Roman" w:cstheme="minorHAnsi"/>
          <w:szCs w:val="24"/>
          <w:lang w:eastAsia="en-AU"/>
        </w:rPr>
        <w:t>which established slum-upgrading master plans in two pilot slum-like neighbo</w:t>
      </w:r>
      <w:r>
        <w:rPr>
          <w:rFonts w:eastAsia="Times New Roman" w:cstheme="minorHAnsi"/>
          <w:szCs w:val="24"/>
          <w:lang w:eastAsia="en-AU"/>
        </w:rPr>
        <w:t>u</w:t>
      </w:r>
      <w:r w:rsidRPr="00AF309A">
        <w:rPr>
          <w:rFonts w:eastAsia="Times New Roman" w:cstheme="minorHAnsi"/>
          <w:szCs w:val="24"/>
          <w:lang w:eastAsia="en-AU"/>
        </w:rPr>
        <w:t>rhoods in Erbil Governorate</w:t>
      </w:r>
      <w:r>
        <w:rPr>
          <w:rFonts w:eastAsia="Times New Roman" w:cstheme="minorHAnsi"/>
          <w:szCs w:val="24"/>
          <w:lang w:eastAsia="en-AU"/>
        </w:rPr>
        <w:t xml:space="preserve">. </w:t>
      </w:r>
      <w:r w:rsidRPr="00B95519">
        <w:rPr>
          <w:rFonts w:eastAsia="Times New Roman" w:cstheme="minorHAnsi"/>
          <w:szCs w:val="24"/>
          <w:lang w:eastAsia="en-AU"/>
        </w:rPr>
        <w:t xml:space="preserve">The </w:t>
      </w:r>
      <w:r>
        <w:rPr>
          <w:rFonts w:eastAsia="Times New Roman" w:cstheme="minorHAnsi"/>
          <w:szCs w:val="24"/>
          <w:lang w:eastAsia="en-AU"/>
        </w:rPr>
        <w:t xml:space="preserve">project was </w:t>
      </w:r>
      <w:r w:rsidRPr="00B95519">
        <w:rPr>
          <w:rFonts w:eastAsia="Times New Roman" w:cstheme="minorHAnsi"/>
          <w:szCs w:val="24"/>
          <w:lang w:eastAsia="en-AU"/>
        </w:rPr>
        <w:t xml:space="preserve">proposed </w:t>
      </w:r>
      <w:r>
        <w:rPr>
          <w:rFonts w:eastAsia="Times New Roman" w:cstheme="minorHAnsi"/>
          <w:szCs w:val="24"/>
          <w:lang w:eastAsia="en-AU"/>
        </w:rPr>
        <w:t>as an attempt</w:t>
      </w:r>
      <w:r w:rsidRPr="00B95519">
        <w:rPr>
          <w:rFonts w:eastAsia="Times New Roman" w:cstheme="minorHAnsi"/>
          <w:szCs w:val="24"/>
          <w:lang w:eastAsia="en-AU"/>
        </w:rPr>
        <w:t xml:space="preserve"> to assist the cities of Najaf and </w:t>
      </w:r>
      <w:proofErr w:type="spellStart"/>
      <w:r w:rsidRPr="00B95519">
        <w:rPr>
          <w:rFonts w:eastAsia="Times New Roman" w:cstheme="minorHAnsi"/>
          <w:szCs w:val="24"/>
          <w:lang w:eastAsia="en-AU"/>
        </w:rPr>
        <w:t>Hilla</w:t>
      </w:r>
      <w:proofErr w:type="spellEnd"/>
      <w:r w:rsidRPr="00B95519">
        <w:rPr>
          <w:rFonts w:eastAsia="Times New Roman" w:cstheme="minorHAnsi"/>
          <w:szCs w:val="24"/>
          <w:lang w:eastAsia="en-AU"/>
        </w:rPr>
        <w:t xml:space="preserve"> in implementing their housing strategies, with an emphasis on improving living conditions for the poor and vulnerable in slum settlements</w:t>
      </w:r>
      <w:r>
        <w:rPr>
          <w:rFonts w:eastAsia="Times New Roman" w:cstheme="minorHAnsi"/>
          <w:szCs w:val="24"/>
          <w:lang w:eastAsia="en-AU"/>
        </w:rPr>
        <w:t xml:space="preserve">. </w:t>
      </w:r>
      <w:r w:rsidRPr="00B95519">
        <w:rPr>
          <w:rFonts w:eastAsia="Times New Roman" w:cstheme="minorHAnsi"/>
          <w:szCs w:val="24"/>
          <w:lang w:eastAsia="en-AU"/>
        </w:rPr>
        <w:t>In addition, the project propose</w:t>
      </w:r>
      <w:r>
        <w:rPr>
          <w:rFonts w:eastAsia="Times New Roman" w:cstheme="minorHAnsi"/>
          <w:szCs w:val="24"/>
          <w:lang w:eastAsia="en-AU"/>
        </w:rPr>
        <w:t>d to extend work to S</w:t>
      </w:r>
      <w:r w:rsidRPr="00B95519">
        <w:rPr>
          <w:rFonts w:eastAsia="Times New Roman" w:cstheme="minorHAnsi"/>
          <w:szCs w:val="24"/>
          <w:lang w:eastAsia="en-AU"/>
        </w:rPr>
        <w:t xml:space="preserve">outhern Iraq with the preparation of a housing strategy for the city of </w:t>
      </w:r>
      <w:proofErr w:type="spellStart"/>
      <w:r w:rsidRPr="00B95519">
        <w:rPr>
          <w:rFonts w:eastAsia="Times New Roman" w:cstheme="minorHAnsi"/>
          <w:szCs w:val="24"/>
          <w:lang w:eastAsia="en-AU"/>
        </w:rPr>
        <w:t>Basrah</w:t>
      </w:r>
      <w:proofErr w:type="spellEnd"/>
      <w:r w:rsidRPr="00B95519">
        <w:rPr>
          <w:rFonts w:eastAsia="Times New Roman" w:cstheme="minorHAnsi"/>
          <w:szCs w:val="24"/>
          <w:lang w:eastAsia="en-AU"/>
        </w:rPr>
        <w:t>. </w:t>
      </w:r>
    </w:p>
    <w:p w:rsidR="00DE51E5" w:rsidRPr="00AF309A" w:rsidRDefault="00DE51E5" w:rsidP="00DE51E5">
      <w:pPr>
        <w:spacing w:before="100" w:beforeAutospacing="1" w:after="100" w:afterAutospacing="1"/>
        <w:jc w:val="both"/>
        <w:rPr>
          <w:rFonts w:eastAsia="Times New Roman" w:cstheme="minorHAnsi"/>
          <w:szCs w:val="24"/>
          <w:u w:val="single"/>
          <w:lang w:val="en-US" w:eastAsia="en-AU"/>
        </w:rPr>
      </w:pPr>
      <w:r w:rsidRPr="00AF309A">
        <w:rPr>
          <w:rFonts w:eastAsia="Times New Roman" w:cstheme="minorHAnsi"/>
          <w:szCs w:val="24"/>
          <w:u w:val="single"/>
          <w:lang w:val="en-US" w:eastAsia="en-AU"/>
        </w:rPr>
        <w:lastRenderedPageBreak/>
        <w:t>Improving the Housing Delivery System in Erbil (Phase II)</w:t>
      </w:r>
      <w:r w:rsidRPr="00AF309A">
        <w:rPr>
          <w:rFonts w:eastAsia="Times New Roman" w:cstheme="minorHAnsi"/>
          <w:szCs w:val="24"/>
          <w:u w:val="single"/>
          <w:lang w:eastAsia="en-AU"/>
        </w:rPr>
        <w:t xml:space="preserve"> </w:t>
      </w:r>
    </w:p>
    <w:p w:rsidR="00DE51E5" w:rsidRDefault="00DE51E5" w:rsidP="00DE51E5">
      <w:pPr>
        <w:spacing w:before="100" w:beforeAutospacing="1" w:after="100" w:afterAutospacing="1"/>
        <w:jc w:val="both"/>
        <w:rPr>
          <w:rFonts w:eastAsia="Times New Roman" w:cstheme="minorHAnsi"/>
          <w:szCs w:val="24"/>
          <w:lang w:eastAsia="en-AU"/>
        </w:rPr>
      </w:pPr>
      <w:r>
        <w:rPr>
          <w:rFonts w:eastAsia="Times New Roman" w:cstheme="minorHAnsi"/>
          <w:szCs w:val="24"/>
          <w:lang w:eastAsia="en-AU"/>
        </w:rPr>
        <w:t>This was extension of the</w:t>
      </w:r>
      <w:r w:rsidRPr="00AF309A">
        <w:rPr>
          <w:rFonts w:eastAsia="Times New Roman" w:cstheme="minorHAnsi"/>
          <w:szCs w:val="24"/>
          <w:lang w:val="en-US" w:eastAsia="en-AU"/>
        </w:rPr>
        <w:t xml:space="preserve"> Improving the Housing Delivery System in Erbil</w:t>
      </w:r>
      <w:r>
        <w:rPr>
          <w:rFonts w:eastAsia="Times New Roman" w:cstheme="minorHAnsi"/>
          <w:szCs w:val="24"/>
          <w:lang w:val="en-US" w:eastAsia="en-AU"/>
        </w:rPr>
        <w:t xml:space="preserve"> project. </w:t>
      </w:r>
      <w:r w:rsidRPr="00AF309A">
        <w:rPr>
          <w:rFonts w:eastAsia="Times New Roman" w:cstheme="minorHAnsi"/>
          <w:szCs w:val="24"/>
          <w:lang w:eastAsia="en-AU"/>
        </w:rPr>
        <w:t>The new project plans to leave a visual product of a successfully upgraded urban settlement by continuing the execution of activities to demonstrate key actions in formalizing informal settlements upgrading.</w:t>
      </w:r>
    </w:p>
    <w:p w:rsidR="00DE51E5" w:rsidRDefault="00DE51E5" w:rsidP="00FD1A93">
      <w:pPr>
        <w:spacing w:before="100" w:beforeAutospacing="1" w:after="100" w:afterAutospacing="1"/>
        <w:jc w:val="both"/>
        <w:rPr>
          <w:rFonts w:eastAsia="Times New Roman" w:cstheme="minorHAnsi"/>
          <w:szCs w:val="24"/>
          <w:u w:val="single"/>
          <w:lang w:eastAsia="en-AU"/>
        </w:rPr>
      </w:pPr>
      <w:r w:rsidRPr="00DE51E5">
        <w:rPr>
          <w:rFonts w:eastAsia="Times New Roman" w:cstheme="minorHAnsi"/>
          <w:szCs w:val="24"/>
          <w:u w:val="single"/>
          <w:lang w:eastAsia="en-AU"/>
        </w:rPr>
        <w:t>Pro-poor Housing: Launch of the Erbil Housing Strategy:</w:t>
      </w:r>
    </w:p>
    <w:p w:rsidR="00672DD2" w:rsidRPr="00DE51E5" w:rsidRDefault="00DE51E5" w:rsidP="00FD1A93">
      <w:pPr>
        <w:spacing w:before="100" w:beforeAutospacing="1" w:after="100" w:afterAutospacing="1"/>
        <w:jc w:val="both"/>
        <w:rPr>
          <w:rFonts w:eastAsia="Times New Roman" w:cstheme="minorHAnsi"/>
          <w:szCs w:val="24"/>
          <w:lang w:eastAsia="en-AU"/>
        </w:rPr>
      </w:pPr>
      <w:r w:rsidRPr="00DE51E5">
        <w:rPr>
          <w:rFonts w:eastAsia="Times New Roman" w:cstheme="minorHAnsi"/>
          <w:szCs w:val="24"/>
          <w:lang w:eastAsia="en-AU"/>
        </w:rPr>
        <w:t>In line with the National Housing Policy, the Erbil Housing Strategy was launched in June 2011 with the Kurdistan Regional Government. The strategy is a practical document that addresses local bottlenecks in the supply of adequate housing for all. These include access to land, access to housing finance, the poor capacity of the construction sector and growing practices of informal housing. Implementation of the strategy requires legislative and institutional action at KRG level, therefore an int</w:t>
      </w:r>
      <w:r>
        <w:rPr>
          <w:rFonts w:eastAsia="Times New Roman" w:cstheme="minorHAnsi"/>
          <w:szCs w:val="24"/>
          <w:lang w:eastAsia="en-AU"/>
        </w:rPr>
        <w:t xml:space="preserve">er-ministerial working group was </w:t>
      </w:r>
      <w:r w:rsidRPr="00DE51E5">
        <w:rPr>
          <w:rFonts w:eastAsia="Times New Roman" w:cstheme="minorHAnsi"/>
          <w:szCs w:val="24"/>
          <w:lang w:eastAsia="en-AU"/>
        </w:rPr>
        <w:t>formed to review and amend the strategy, so that it c</w:t>
      </w:r>
      <w:r>
        <w:rPr>
          <w:rFonts w:eastAsia="Times New Roman" w:cstheme="minorHAnsi"/>
          <w:szCs w:val="24"/>
          <w:lang w:eastAsia="en-AU"/>
        </w:rPr>
        <w:t xml:space="preserve">ould </w:t>
      </w:r>
      <w:r w:rsidRPr="00DE51E5">
        <w:rPr>
          <w:rFonts w:eastAsia="Times New Roman" w:cstheme="minorHAnsi"/>
          <w:szCs w:val="24"/>
          <w:lang w:eastAsia="en-AU"/>
        </w:rPr>
        <w:t xml:space="preserve">be submitted for the endorsement of </w:t>
      </w:r>
      <w:r>
        <w:rPr>
          <w:rFonts w:eastAsia="Times New Roman" w:cstheme="minorHAnsi"/>
          <w:szCs w:val="24"/>
          <w:lang w:eastAsia="en-AU"/>
        </w:rPr>
        <w:t xml:space="preserve">the </w:t>
      </w:r>
      <w:r w:rsidRPr="00DE51E5">
        <w:rPr>
          <w:rFonts w:eastAsia="Times New Roman" w:cstheme="minorHAnsi"/>
          <w:szCs w:val="24"/>
          <w:lang w:eastAsia="en-AU"/>
        </w:rPr>
        <w:t>K</w:t>
      </w:r>
      <w:r>
        <w:rPr>
          <w:rFonts w:eastAsia="Times New Roman" w:cstheme="minorHAnsi"/>
          <w:szCs w:val="24"/>
          <w:lang w:eastAsia="en-AU"/>
        </w:rPr>
        <w:t xml:space="preserve">urdish </w:t>
      </w:r>
      <w:r w:rsidRPr="00DE51E5">
        <w:rPr>
          <w:rFonts w:eastAsia="Times New Roman" w:cstheme="minorHAnsi"/>
          <w:szCs w:val="24"/>
          <w:lang w:eastAsia="en-AU"/>
        </w:rPr>
        <w:t>R</w:t>
      </w:r>
      <w:r>
        <w:rPr>
          <w:rFonts w:eastAsia="Times New Roman" w:cstheme="minorHAnsi"/>
          <w:szCs w:val="24"/>
          <w:lang w:eastAsia="en-AU"/>
        </w:rPr>
        <w:t xml:space="preserve">egional </w:t>
      </w:r>
      <w:r w:rsidRPr="00DE51E5">
        <w:rPr>
          <w:rFonts w:eastAsia="Times New Roman" w:cstheme="minorHAnsi"/>
          <w:szCs w:val="24"/>
          <w:lang w:eastAsia="en-AU"/>
        </w:rPr>
        <w:t>G</w:t>
      </w:r>
      <w:r>
        <w:rPr>
          <w:rFonts w:eastAsia="Times New Roman" w:cstheme="minorHAnsi"/>
          <w:szCs w:val="24"/>
          <w:lang w:eastAsia="en-AU"/>
        </w:rPr>
        <w:t xml:space="preserve">overnment </w:t>
      </w:r>
      <w:r w:rsidRPr="00DE51E5">
        <w:rPr>
          <w:rFonts w:eastAsia="Times New Roman" w:cstheme="minorHAnsi"/>
          <w:szCs w:val="24"/>
          <w:lang w:eastAsia="en-AU"/>
        </w:rPr>
        <w:t>Council of Ministers.</w:t>
      </w:r>
    </w:p>
    <w:p w:rsidR="00235871" w:rsidRDefault="00235871"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1A3F23" w:rsidRDefault="001A3F23" w:rsidP="00FD1A93">
      <w:pPr>
        <w:spacing w:before="100" w:beforeAutospacing="1" w:after="100" w:afterAutospacing="1"/>
        <w:jc w:val="both"/>
        <w:rPr>
          <w:rFonts w:eastAsia="Times New Roman" w:cstheme="minorHAnsi"/>
          <w:szCs w:val="24"/>
          <w:lang w:val="en-US" w:eastAsia="en-AU"/>
        </w:rPr>
      </w:pPr>
    </w:p>
    <w:p w:rsidR="001A3F23" w:rsidRDefault="001A3F23" w:rsidP="00FD1A93">
      <w:pPr>
        <w:spacing w:before="100" w:beforeAutospacing="1" w:after="100" w:afterAutospacing="1"/>
        <w:jc w:val="both"/>
        <w:rPr>
          <w:rFonts w:eastAsia="Times New Roman" w:cstheme="minorHAnsi"/>
          <w:szCs w:val="24"/>
          <w:lang w:val="en-US" w:eastAsia="en-AU"/>
        </w:rPr>
      </w:pPr>
    </w:p>
    <w:p w:rsidR="002D5228" w:rsidRDefault="002D5228" w:rsidP="00FD1A93">
      <w:pPr>
        <w:spacing w:before="100" w:beforeAutospacing="1" w:after="100" w:afterAutospacing="1"/>
        <w:jc w:val="both"/>
        <w:rPr>
          <w:rFonts w:eastAsia="Times New Roman" w:cstheme="minorHAnsi"/>
          <w:szCs w:val="24"/>
          <w:lang w:val="en-US" w:eastAsia="en-AU"/>
        </w:rPr>
      </w:pPr>
    </w:p>
    <w:p w:rsidR="00E153C5" w:rsidRPr="00296801" w:rsidRDefault="00FE546B" w:rsidP="00E153C5">
      <w:pPr>
        <w:ind w:left="360"/>
      </w:pPr>
      <w:r>
        <w:rPr>
          <w:b/>
          <w:sz w:val="28"/>
        </w:rPr>
        <w:lastRenderedPageBreak/>
        <w:t>F</w:t>
      </w:r>
      <w:r w:rsidR="00AE01C9" w:rsidRPr="00296801">
        <w:rPr>
          <w:b/>
          <w:sz w:val="28"/>
        </w:rPr>
        <w:t>urther Information</w:t>
      </w:r>
    </w:p>
    <w:p w:rsidR="00E153C5" w:rsidRPr="00E153C5" w:rsidRDefault="00897E59" w:rsidP="00E153C5">
      <w:pPr>
        <w:pStyle w:val="ListParagraph"/>
        <w:numPr>
          <w:ilvl w:val="0"/>
          <w:numId w:val="10"/>
        </w:numPr>
      </w:pPr>
      <w:r>
        <w:t>Constitution</w:t>
      </w:r>
      <w:r w:rsidR="00E153C5">
        <w:t xml:space="preserve"> of Iraq</w:t>
      </w:r>
      <w:r>
        <w:t>:</w:t>
      </w:r>
      <w:r w:rsidR="00E153C5" w:rsidRPr="00E153C5">
        <w:t xml:space="preserve">  </w:t>
      </w:r>
      <w:hyperlink r:id="rId13" w:history="1">
        <w:r w:rsidR="00E153C5" w:rsidRPr="001C4059">
          <w:rPr>
            <w:rStyle w:val="Hyperlink"/>
          </w:rPr>
          <w:t>http://www.iraqinationality.gov.iq/attach/iraqi_constitution.pdf</w:t>
        </w:r>
      </w:hyperlink>
      <w:r w:rsidR="00E153C5">
        <w:t xml:space="preserve"> </w:t>
      </w:r>
    </w:p>
    <w:p w:rsidR="00B95519" w:rsidRPr="00B95519" w:rsidRDefault="001A3F23" w:rsidP="00B95519">
      <w:pPr>
        <w:pStyle w:val="ListParagraph"/>
        <w:numPr>
          <w:ilvl w:val="0"/>
          <w:numId w:val="8"/>
        </w:numPr>
      </w:pPr>
      <w:r>
        <w:t xml:space="preserve">2009 Draft </w:t>
      </w:r>
      <w:r w:rsidR="00B95519" w:rsidRPr="00B95519">
        <w:t xml:space="preserve">Constitution of Kurdistan Regional Government: </w:t>
      </w:r>
      <w:hyperlink r:id="rId14" w:history="1">
        <w:r w:rsidR="00B95519" w:rsidRPr="00B95519">
          <w:rPr>
            <w:rStyle w:val="Hyperlink"/>
          </w:rPr>
          <w:t>http://content.lib.utah.edu/utils/getfile/collection/qip/id/276/filename/277.pdf</w:t>
        </w:r>
      </w:hyperlink>
      <w:r w:rsidR="00B95519" w:rsidRPr="00B95519">
        <w:t xml:space="preserve"> </w:t>
      </w:r>
    </w:p>
    <w:p w:rsidR="00AE01C9" w:rsidRPr="000E0238" w:rsidRDefault="00E153C5" w:rsidP="000E0238">
      <w:pPr>
        <w:pStyle w:val="ListParagraph"/>
        <w:numPr>
          <w:ilvl w:val="0"/>
          <w:numId w:val="8"/>
        </w:numPr>
        <w:rPr>
          <w:b/>
        </w:rPr>
      </w:pPr>
      <w:r>
        <w:t xml:space="preserve">National </w:t>
      </w:r>
      <w:r w:rsidR="000E0238">
        <w:t xml:space="preserve">Housing Policy: </w:t>
      </w:r>
      <w:hyperlink r:id="rId15" w:history="1"/>
      <w:r>
        <w:rPr>
          <w:rStyle w:val="Hyperlink"/>
        </w:rPr>
        <w:t xml:space="preserve"> h</w:t>
      </w:r>
      <w:r w:rsidRPr="00E153C5">
        <w:rPr>
          <w:color w:val="0000FF" w:themeColor="hyperlink"/>
          <w:u w:val="single"/>
        </w:rPr>
        <w:t>ttp://www.unhabitat.org.jo/en/inp/Upload/634247_INHP_English%20Version.pdf</w:t>
      </w:r>
    </w:p>
    <w:p w:rsidR="00FF2F0F" w:rsidRPr="00FF2F0F" w:rsidRDefault="00E153C5" w:rsidP="00FF2F0F">
      <w:pPr>
        <w:pStyle w:val="ListParagraph"/>
        <w:numPr>
          <w:ilvl w:val="0"/>
          <w:numId w:val="8"/>
        </w:numPr>
        <w:rPr>
          <w:b/>
        </w:rPr>
      </w:pPr>
      <w:r>
        <w:t xml:space="preserve">Ministry of Construction and Housing: </w:t>
      </w:r>
      <w:hyperlink r:id="rId16" w:history="1">
        <w:r w:rsidRPr="001C4059">
          <w:rPr>
            <w:rStyle w:val="Hyperlink"/>
          </w:rPr>
          <w:t>http://www.imariskan.gov.iq/en</w:t>
        </w:r>
      </w:hyperlink>
      <w:r>
        <w:t xml:space="preserve"> </w:t>
      </w:r>
    </w:p>
    <w:p w:rsidR="00376665" w:rsidRPr="00296801" w:rsidRDefault="00376665" w:rsidP="002250DD">
      <w:pPr>
        <w:pStyle w:val="ListParagraph"/>
        <w:numPr>
          <w:ilvl w:val="0"/>
          <w:numId w:val="8"/>
        </w:numPr>
        <w:rPr>
          <w:b/>
        </w:rPr>
      </w:pPr>
      <w:r w:rsidRPr="00296801">
        <w:t xml:space="preserve">OHCHR Convention Ratification Status: </w:t>
      </w:r>
      <w:hyperlink r:id="rId17" w:history="1">
        <w:r w:rsidRPr="00296801">
          <w:rPr>
            <w:rStyle w:val="Hyperlink"/>
          </w:rPr>
          <w:t>http://indicators.ohchr.org/</w:t>
        </w:r>
      </w:hyperlink>
    </w:p>
    <w:p w:rsidR="00E153C5" w:rsidRPr="00E153C5" w:rsidRDefault="00376665" w:rsidP="00E153C5">
      <w:pPr>
        <w:pStyle w:val="ListParagraph"/>
        <w:numPr>
          <w:ilvl w:val="0"/>
          <w:numId w:val="8"/>
        </w:numPr>
        <w:rPr>
          <w:b/>
        </w:rPr>
      </w:pPr>
      <w:r w:rsidRPr="00296801">
        <w:t>Universal Periodic Review:</w:t>
      </w:r>
      <w:r w:rsidR="00E153C5">
        <w:t xml:space="preserve"> </w:t>
      </w:r>
      <w:hyperlink r:id="rId18" w:history="1">
        <w:r w:rsidR="00E153C5" w:rsidRPr="00E153C5">
          <w:rPr>
            <w:rStyle w:val="Hyperlink"/>
          </w:rPr>
          <w:t>http://www.ohchr.org/EN/HRBodies/UPR/Pages/IQSession20.aspx</w:t>
        </w:r>
      </w:hyperlink>
      <w:r w:rsidR="00E153C5">
        <w:rPr>
          <w:b/>
        </w:rPr>
        <w:t xml:space="preserve"> </w:t>
      </w:r>
    </w:p>
    <w:p w:rsidR="00E153C5" w:rsidRDefault="00B902A8" w:rsidP="00E153C5">
      <w:pPr>
        <w:pStyle w:val="ListParagraph"/>
        <w:numPr>
          <w:ilvl w:val="0"/>
          <w:numId w:val="8"/>
        </w:numPr>
        <w:rPr>
          <w:rFonts w:cstheme="minorHAnsi"/>
          <w:bCs/>
        </w:rPr>
      </w:pPr>
      <w:r>
        <w:t>R</w:t>
      </w:r>
      <w:r w:rsidR="00296801" w:rsidRPr="00296801">
        <w:rPr>
          <w:rFonts w:cstheme="minorHAnsi"/>
          <w:bCs/>
        </w:rPr>
        <w:t>eport of the United Nations High Commissioner for Human Rights</w:t>
      </w:r>
      <w:r w:rsidR="00E153C5">
        <w:rPr>
          <w:rFonts w:cstheme="minorHAnsi"/>
          <w:bCs/>
        </w:rPr>
        <w:t xml:space="preserve">: </w:t>
      </w:r>
      <w:hyperlink r:id="rId19" w:history="1">
        <w:r w:rsidR="00E153C5" w:rsidRPr="001C4059">
          <w:rPr>
            <w:rStyle w:val="Hyperlink"/>
            <w:rFonts w:cstheme="minorHAnsi"/>
            <w:bCs/>
          </w:rPr>
          <w:t>http://daccess-dds-ny.un.org/doc/UNDOC/GEN/G14/140/16/PDF/G1414016.pdf?OpenElement</w:t>
        </w:r>
      </w:hyperlink>
      <w:r w:rsidR="00E153C5">
        <w:rPr>
          <w:rFonts w:cstheme="minorHAnsi"/>
          <w:bCs/>
        </w:rPr>
        <w:t xml:space="preserve"> </w:t>
      </w:r>
    </w:p>
    <w:p w:rsidR="00E153C5" w:rsidRPr="00E153C5" w:rsidRDefault="00296801" w:rsidP="00E153C5">
      <w:pPr>
        <w:pStyle w:val="ListParagraph"/>
        <w:numPr>
          <w:ilvl w:val="0"/>
          <w:numId w:val="8"/>
        </w:numPr>
      </w:pPr>
      <w:r w:rsidRPr="00296801">
        <w:t>UNCT:</w:t>
      </w:r>
      <w:r w:rsidR="00E153C5" w:rsidRPr="00E153C5">
        <w:t xml:space="preserve"> </w:t>
      </w:r>
      <w:hyperlink r:id="rId20" w:history="1">
        <w:r w:rsidR="00E153C5" w:rsidRPr="001C4059">
          <w:rPr>
            <w:rStyle w:val="Hyperlink"/>
          </w:rPr>
          <w:t>http://iq.one.un.org/</w:t>
        </w:r>
      </w:hyperlink>
      <w:r w:rsidR="00E153C5">
        <w:t xml:space="preserve"> </w:t>
      </w:r>
      <w:r w:rsidR="00E153C5" w:rsidRPr="00E153C5">
        <w:t xml:space="preserve"> </w:t>
      </w:r>
      <w:r w:rsidR="00E153C5">
        <w:t xml:space="preserve"> </w:t>
      </w:r>
    </w:p>
    <w:p w:rsidR="00296801" w:rsidRPr="00E153C5" w:rsidRDefault="00296801" w:rsidP="00FE546B">
      <w:pPr>
        <w:pStyle w:val="ListParagraph"/>
        <w:numPr>
          <w:ilvl w:val="0"/>
          <w:numId w:val="8"/>
        </w:numPr>
        <w:rPr>
          <w:b/>
        </w:rPr>
      </w:pPr>
      <w:r w:rsidRPr="00296801">
        <w:t>UNDAF:</w:t>
      </w:r>
      <w:hyperlink r:id="rId21" w:history="1"/>
      <w:r w:rsidR="00E153C5">
        <w:t xml:space="preserve"> </w:t>
      </w:r>
      <w:hyperlink r:id="rId22" w:history="1">
        <w:r w:rsidR="00E153C5" w:rsidRPr="001C4059">
          <w:rPr>
            <w:rStyle w:val="Hyperlink"/>
          </w:rPr>
          <w:t>http://planipolis.iiep.unesco.org/upload/Iraq/Iraq_UNDAF_2015-2019.pdf</w:t>
        </w:r>
      </w:hyperlink>
      <w:r w:rsidR="00E153C5">
        <w:t xml:space="preserve"> </w:t>
      </w:r>
      <w:hyperlink r:id="rId23" w:history="1"/>
    </w:p>
    <w:p w:rsidR="00296801" w:rsidRPr="00014AAD" w:rsidRDefault="00FE546B" w:rsidP="002250DD">
      <w:pPr>
        <w:pStyle w:val="ListParagraph"/>
        <w:numPr>
          <w:ilvl w:val="0"/>
          <w:numId w:val="8"/>
        </w:numPr>
        <w:rPr>
          <w:lang w:val="fr-FR"/>
        </w:rPr>
      </w:pPr>
      <w:r w:rsidRPr="00014AAD">
        <w:rPr>
          <w:lang w:val="fr-FR"/>
        </w:rPr>
        <w:t>UN-Habitat</w:t>
      </w:r>
      <w:r w:rsidR="00672DD2">
        <w:rPr>
          <w:lang w:val="fr-FR"/>
        </w:rPr>
        <w:t xml:space="preserve"> Iraq</w:t>
      </w:r>
      <w:r w:rsidRPr="00014AAD">
        <w:rPr>
          <w:lang w:val="fr-FR"/>
        </w:rPr>
        <w:t xml:space="preserve"> </w:t>
      </w:r>
      <w:r w:rsidR="00296801" w:rsidRPr="00014AAD">
        <w:rPr>
          <w:lang w:val="fr-FR"/>
        </w:rPr>
        <w:t xml:space="preserve">Summary: </w:t>
      </w:r>
      <w:hyperlink r:id="rId24" w:history="1">
        <w:r w:rsidR="00E153C5" w:rsidRPr="001C4059">
          <w:rPr>
            <w:rStyle w:val="Hyperlink"/>
            <w:lang w:val="fr-FR"/>
          </w:rPr>
          <w:t>http://unhabitat.org/iraq/</w:t>
        </w:r>
      </w:hyperlink>
    </w:p>
    <w:p w:rsidR="00A80161" w:rsidRDefault="00A80161" w:rsidP="002250DD">
      <w:pPr>
        <w:pStyle w:val="ListParagraph"/>
        <w:numPr>
          <w:ilvl w:val="0"/>
          <w:numId w:val="8"/>
        </w:numPr>
      </w:pPr>
      <w:r>
        <w:t xml:space="preserve">OHCHR: </w:t>
      </w:r>
      <w:hyperlink r:id="rId25" w:history="1">
        <w:r w:rsidRPr="00CB13A6">
          <w:rPr>
            <w:rStyle w:val="Hyperlink"/>
          </w:rPr>
          <w:t>http://www.ohchr.org/EN/Pages/WelcomePage.aspx</w:t>
        </w:r>
      </w:hyperlink>
    </w:p>
    <w:p w:rsidR="00A80161" w:rsidRPr="009175C9" w:rsidRDefault="00A80161" w:rsidP="002250DD">
      <w:pPr>
        <w:pStyle w:val="ListParagraph"/>
        <w:numPr>
          <w:ilvl w:val="0"/>
          <w:numId w:val="8"/>
        </w:numPr>
        <w:rPr>
          <w:rStyle w:val="Hyperlink"/>
          <w:color w:val="auto"/>
          <w:u w:val="none"/>
          <w:lang w:val="pt-BR"/>
        </w:rPr>
      </w:pPr>
      <w:r w:rsidRPr="009175C9">
        <w:rPr>
          <w:lang w:val="pt-BR"/>
        </w:rPr>
        <w:t xml:space="preserve">UN-Habitat: </w:t>
      </w:r>
      <w:hyperlink r:id="rId26" w:history="1">
        <w:r w:rsidRPr="009175C9">
          <w:rPr>
            <w:rStyle w:val="Hyperlink"/>
            <w:lang w:val="pt-BR"/>
          </w:rPr>
          <w:t>http://unhabitat.org/</w:t>
        </w:r>
      </w:hyperlink>
    </w:p>
    <w:p w:rsidR="00A80161" w:rsidRDefault="00A80161" w:rsidP="002250DD">
      <w:pPr>
        <w:pStyle w:val="ListParagraph"/>
        <w:numPr>
          <w:ilvl w:val="0"/>
          <w:numId w:val="8"/>
        </w:numPr>
      </w:pPr>
      <w:r>
        <w:t xml:space="preserve">Universal Periodic Review: </w:t>
      </w:r>
      <w:hyperlink r:id="rId27" w:history="1">
        <w:r w:rsidRPr="00C57DBD">
          <w:rPr>
            <w:rStyle w:val="Hyperlink"/>
          </w:rPr>
          <w:t>http://www.ohchr.org/EN/HRBodies/UPR/Pages/UPRMain.aspx</w:t>
        </w:r>
      </w:hyperlink>
    </w:p>
    <w:p w:rsidR="00A80161" w:rsidRPr="002E7D99" w:rsidRDefault="00A80161" w:rsidP="002250DD">
      <w:pPr>
        <w:pStyle w:val="ListParagraph"/>
        <w:numPr>
          <w:ilvl w:val="0"/>
          <w:numId w:val="8"/>
        </w:numPr>
      </w:pPr>
      <w:r>
        <w:t>Special Rapporteur</w:t>
      </w:r>
      <w:r w:rsidR="0090051C">
        <w:t xml:space="preserve"> on the Right to Adequate Housing</w:t>
      </w:r>
      <w:r>
        <w:t xml:space="preserve">: </w:t>
      </w:r>
      <w:hyperlink r:id="rId28" w:history="1">
        <w:r w:rsidRPr="00C57DBD">
          <w:rPr>
            <w:rStyle w:val="Hyperlink"/>
          </w:rPr>
          <w:t>http://www.ohchr.org/EN/Issues/Housing/Pages/HousingIndex.aspx</w:t>
        </w:r>
      </w:hyperlink>
    </w:p>
    <w:p w:rsidR="00E153C5" w:rsidRPr="00E153C5" w:rsidRDefault="00E153C5" w:rsidP="00E153C5">
      <w:pPr>
        <w:rPr>
          <w:sz w:val="18"/>
        </w:rPr>
      </w:pPr>
      <w:r w:rsidRPr="00E153C5">
        <w:rPr>
          <w:sz w:val="18"/>
        </w:rPr>
        <w:t xml:space="preserve">  </w:t>
      </w:r>
    </w:p>
    <w:p w:rsidR="00E153C5" w:rsidRPr="00E153C5" w:rsidRDefault="00E153C5" w:rsidP="00E153C5">
      <w:pPr>
        <w:rPr>
          <w:sz w:val="18"/>
        </w:rPr>
      </w:pPr>
      <w:r w:rsidRPr="00E153C5">
        <w:rPr>
          <w:sz w:val="18"/>
        </w:rPr>
        <w:t xml:space="preserve"> </w:t>
      </w:r>
    </w:p>
    <w:p w:rsidR="00E153C5" w:rsidRPr="00E153C5" w:rsidRDefault="00E153C5" w:rsidP="00E153C5">
      <w:pPr>
        <w:rPr>
          <w:sz w:val="18"/>
        </w:rPr>
      </w:pPr>
      <w:r w:rsidRPr="00E153C5">
        <w:rPr>
          <w:sz w:val="18"/>
        </w:rPr>
        <w:t xml:space="preserve"> </w:t>
      </w:r>
      <w:r>
        <w:rPr>
          <w:sz w:val="18"/>
        </w:rPr>
        <w:t xml:space="preserve"> </w:t>
      </w:r>
    </w:p>
    <w:p w:rsidR="002E7D99" w:rsidRPr="00296801" w:rsidRDefault="00E153C5" w:rsidP="00E153C5">
      <w:pPr>
        <w:rPr>
          <w:sz w:val="18"/>
        </w:rPr>
      </w:pPr>
      <w:r>
        <w:rPr>
          <w:sz w:val="18"/>
        </w:rPr>
        <w:t xml:space="preserve">  </w:t>
      </w:r>
    </w:p>
    <w:sectPr w:rsidR="002E7D99" w:rsidRPr="00296801" w:rsidSect="007C4F87">
      <w:headerReference w:type="default" r:id="rId29"/>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84" w:rsidRDefault="00F10484" w:rsidP="00E70BF1">
      <w:pPr>
        <w:spacing w:after="0" w:line="240" w:lineRule="auto"/>
      </w:pPr>
      <w:r>
        <w:separator/>
      </w:r>
    </w:p>
  </w:endnote>
  <w:endnote w:type="continuationSeparator" w:id="0">
    <w:p w:rsidR="00F10484" w:rsidRDefault="00F10484"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84" w:rsidRDefault="00F10484" w:rsidP="00E70BF1">
      <w:pPr>
        <w:spacing w:after="0" w:line="240" w:lineRule="auto"/>
      </w:pPr>
      <w:r>
        <w:separator/>
      </w:r>
    </w:p>
  </w:footnote>
  <w:footnote w:type="continuationSeparator" w:id="0">
    <w:p w:rsidR="00F10484" w:rsidRDefault="00F10484" w:rsidP="00E70BF1">
      <w:pPr>
        <w:spacing w:after="0" w:line="240" w:lineRule="auto"/>
      </w:pPr>
      <w:r>
        <w:continuationSeparator/>
      </w:r>
    </w:p>
  </w:footnote>
  <w:footnote w:id="1">
    <w:p w:rsidR="00BF207E" w:rsidRPr="00BF207E" w:rsidRDefault="00BF207E">
      <w:pPr>
        <w:pStyle w:val="FootnoteText"/>
        <w:rPr>
          <w:lang w:val="en-US"/>
        </w:rPr>
      </w:pPr>
      <w:r>
        <w:rPr>
          <w:rStyle w:val="FootnoteReference"/>
        </w:rPr>
        <w:footnoteRef/>
      </w:r>
      <w:hyperlink r:id="rId1" w:history="1"/>
      <w:r w:rsidR="00723BCB">
        <w:t xml:space="preserve"> </w:t>
      </w:r>
      <w:r w:rsidR="00723BCB" w:rsidRPr="00723BCB">
        <w:t>http://www.iraqinationality.gov.iq/attach/iraqi_constitution.pdf</w:t>
      </w:r>
    </w:p>
  </w:footnote>
  <w:footnote w:id="2">
    <w:p w:rsidR="00B95519" w:rsidRPr="00B95519" w:rsidRDefault="00B95519">
      <w:pPr>
        <w:pStyle w:val="FootnoteText"/>
        <w:rPr>
          <w:lang w:val="en-US"/>
        </w:rPr>
      </w:pPr>
      <w:r>
        <w:rPr>
          <w:rStyle w:val="FootnoteReference"/>
        </w:rPr>
        <w:footnoteRef/>
      </w:r>
      <w:r>
        <w:t xml:space="preserve"> </w:t>
      </w:r>
      <w:r w:rsidRPr="00B95519">
        <w:t>http://content.lib.utah.edu/utils/getfile/collection/qip/id/276/filename/277.pdf</w:t>
      </w:r>
    </w:p>
  </w:footnote>
  <w:footnote w:id="3">
    <w:p w:rsidR="00E153C5" w:rsidRPr="00E153C5" w:rsidRDefault="00E153C5">
      <w:pPr>
        <w:pStyle w:val="FootnoteText"/>
        <w:rPr>
          <w:lang w:val="en-US"/>
        </w:rPr>
      </w:pPr>
      <w:r>
        <w:rPr>
          <w:rStyle w:val="FootnoteReference"/>
        </w:rPr>
        <w:footnoteRef/>
      </w:r>
      <w:r>
        <w:t xml:space="preserve"> </w:t>
      </w:r>
      <w:r w:rsidRPr="00E153C5">
        <w:t>http://www.imariskan.gov.iq/en</w:t>
      </w:r>
    </w:p>
  </w:footnote>
  <w:footnote w:id="4">
    <w:p w:rsidR="00B12B0B" w:rsidRPr="000E0238" w:rsidRDefault="00B12B0B" w:rsidP="00B12B0B">
      <w:pPr>
        <w:pStyle w:val="FootnoteText"/>
        <w:rPr>
          <w:lang w:val="en-US"/>
        </w:rPr>
      </w:pPr>
      <w:r>
        <w:rPr>
          <w:rStyle w:val="FootnoteReference"/>
        </w:rPr>
        <w:footnoteRef/>
      </w:r>
      <w:r w:rsidR="00F2138E" w:rsidRPr="00F2138E">
        <w:rPr>
          <w:lang w:val="en-US"/>
        </w:rPr>
        <w:t>http://www.unhabitat.org.jo/en/inp/Upload/634247_INHP_English%20Version.pdf</w:t>
      </w:r>
    </w:p>
  </w:footnote>
  <w:footnote w:id="5">
    <w:p w:rsidR="00376665" w:rsidRPr="00376665" w:rsidRDefault="00376665">
      <w:pPr>
        <w:pStyle w:val="FootnoteText"/>
        <w:rPr>
          <w:lang w:val="en-US"/>
        </w:rPr>
      </w:pPr>
      <w:r>
        <w:rPr>
          <w:rStyle w:val="FootnoteReference"/>
        </w:rPr>
        <w:footnoteRef/>
      </w:r>
      <w:r w:rsidR="007021E2">
        <w:t xml:space="preserve"> </w:t>
      </w:r>
      <w:r w:rsidRPr="00376665">
        <w:t>http://indicators.ohchr.org/</w:t>
      </w:r>
    </w:p>
  </w:footnote>
  <w:footnote w:id="6">
    <w:p w:rsidR="00207A24" w:rsidRPr="00207A24" w:rsidRDefault="00207A24">
      <w:pPr>
        <w:pStyle w:val="FootnoteText"/>
        <w:rPr>
          <w:lang w:val="en-US"/>
        </w:rPr>
      </w:pPr>
      <w:r>
        <w:rPr>
          <w:rStyle w:val="FootnoteReference"/>
        </w:rPr>
        <w:footnoteRef/>
      </w:r>
      <w:r>
        <w:t xml:space="preserve"> </w:t>
      </w:r>
      <w:r w:rsidRPr="00207A24">
        <w:t>http://www.ohchr.org/EN/HRBodies/UPR/PAGES/IQSession7.aspx</w:t>
      </w:r>
    </w:p>
  </w:footnote>
  <w:footnote w:id="7">
    <w:p w:rsidR="00207A24" w:rsidRPr="00207A24" w:rsidRDefault="00207A24">
      <w:pPr>
        <w:pStyle w:val="FootnoteText"/>
        <w:rPr>
          <w:lang w:val="en-US"/>
        </w:rPr>
      </w:pPr>
      <w:r>
        <w:rPr>
          <w:rStyle w:val="FootnoteReference"/>
        </w:rPr>
        <w:footnoteRef/>
      </w:r>
      <w:r>
        <w:t xml:space="preserve"> </w:t>
      </w:r>
      <w:r w:rsidRPr="00207A24">
        <w:t>http://www.ohchr.org/EN/HRBodies/UPR/Pages/IQSession20.aspx</w:t>
      </w:r>
    </w:p>
  </w:footnote>
  <w:footnote w:id="8">
    <w:p w:rsidR="00BF207E" w:rsidRPr="00BF207E" w:rsidRDefault="00BF207E">
      <w:pPr>
        <w:pStyle w:val="FootnoteText"/>
        <w:rPr>
          <w:lang w:val="en-US"/>
        </w:rPr>
      </w:pPr>
      <w:r>
        <w:rPr>
          <w:rStyle w:val="FootnoteReference"/>
        </w:rPr>
        <w:footnoteRef/>
      </w:r>
      <w:r w:rsidR="00235871" w:rsidRPr="00235871">
        <w:rPr>
          <w:lang w:val="en-US"/>
        </w:rPr>
        <w:t>http://daccess-dds-ny.un.org/doc/UNDOC/GEN/G14/140/16/PDF/G1414016.pdf?OpenElement</w:t>
      </w:r>
    </w:p>
  </w:footnote>
  <w:footnote w:id="9">
    <w:p w:rsidR="00BF207E" w:rsidRPr="00BF207E" w:rsidRDefault="00BF207E">
      <w:pPr>
        <w:pStyle w:val="FootnoteText"/>
        <w:rPr>
          <w:lang w:val="en-US"/>
        </w:rPr>
      </w:pPr>
      <w:r>
        <w:rPr>
          <w:rStyle w:val="FootnoteReference"/>
        </w:rPr>
        <w:footnoteRef/>
      </w:r>
      <w:r w:rsidRPr="00BF207E">
        <w:t>Conc</w:t>
      </w:r>
      <w:r w:rsidR="00433E35">
        <w:t xml:space="preserve">luding observations </w:t>
      </w:r>
      <w:r w:rsidR="00433E35" w:rsidRPr="00433E35">
        <w:t>E/C.12/1/Add.17</w:t>
      </w:r>
    </w:p>
  </w:footnote>
  <w:footnote w:id="10">
    <w:p w:rsidR="00BF207E" w:rsidRPr="00BF207E" w:rsidRDefault="00BF207E">
      <w:pPr>
        <w:pStyle w:val="FootnoteText"/>
        <w:rPr>
          <w:lang w:val="en-US"/>
        </w:rPr>
      </w:pPr>
      <w:r>
        <w:rPr>
          <w:rStyle w:val="FootnoteReference"/>
        </w:rPr>
        <w:footnoteRef/>
      </w:r>
      <w:r w:rsidR="00262E9F" w:rsidRPr="00262E9F">
        <w:rPr>
          <w:lang w:val="en-US"/>
        </w:rPr>
        <w:t>http://iq.one.un.org/</w:t>
      </w:r>
      <w:r w:rsidR="00262E9F">
        <w:rPr>
          <w:lang w:val="en-US"/>
        </w:rPr>
        <w:t xml:space="preserve"> </w:t>
      </w:r>
    </w:p>
  </w:footnote>
  <w:footnote w:id="11">
    <w:p w:rsidR="00BF207E" w:rsidRPr="00BF207E" w:rsidRDefault="00BF207E">
      <w:pPr>
        <w:pStyle w:val="FootnoteText"/>
        <w:rPr>
          <w:lang w:val="en-US"/>
        </w:rPr>
      </w:pPr>
      <w:r>
        <w:rPr>
          <w:rStyle w:val="FootnoteReference"/>
        </w:rPr>
        <w:footnoteRef/>
      </w:r>
      <w:r w:rsidR="008A4950" w:rsidRPr="008A4950">
        <w:rPr>
          <w:lang w:val="en-US"/>
        </w:rPr>
        <w:t>http://planipolis.iiep.unesco.org/upload/Iraq/Iraq_UNDAF_2015-2019.pdf</w:t>
      </w:r>
    </w:p>
  </w:footnote>
  <w:footnote w:id="12">
    <w:p w:rsidR="00B33886" w:rsidRPr="00B33886" w:rsidRDefault="00B33886">
      <w:pPr>
        <w:pStyle w:val="FootnoteText"/>
        <w:rPr>
          <w:lang w:val="en-US"/>
        </w:rPr>
      </w:pPr>
      <w:r>
        <w:rPr>
          <w:rStyle w:val="FootnoteReference"/>
        </w:rPr>
        <w:footnoteRef/>
      </w:r>
      <w:r w:rsidR="00235871" w:rsidRPr="00235871">
        <w:t>http://unhabitat.org/iraq/</w:t>
      </w:r>
      <w:r w:rsidR="0023587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4560BE5E" wp14:editId="2B73F58A">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anchor>
          </w:drawing>
        </w:r>
      </w:p>
      <w:p w:rsidR="007C4F87" w:rsidRPr="007C4F87" w:rsidRDefault="007C4F87">
        <w:pPr>
          <w:pStyle w:val="Header"/>
          <w:jc w:val="center"/>
          <w:rPr>
            <w:b/>
            <w:color w:val="FFFFFF" w:themeColor="background1"/>
          </w:rPr>
        </w:pPr>
      </w:p>
      <w:p w:rsidR="007C4F87" w:rsidRPr="007C4F87" w:rsidRDefault="00B30588" w:rsidP="007C4F87">
        <w:pPr>
          <w:jc w:val="center"/>
          <w:rPr>
            <w:b/>
            <w:color w:val="FFFFFF" w:themeColor="background1"/>
          </w:rPr>
        </w:pPr>
        <w:r w:rsidRPr="00FD13CC">
          <w:rPr>
            <w:b/>
            <w:color w:val="FFFFFF" w:themeColor="background1"/>
          </w:rPr>
          <w:t>Housing Rights and Human Rights Brief</w:t>
        </w:r>
        <w:r w:rsidR="007C4F87" w:rsidRPr="00FD13CC">
          <w:rPr>
            <w:b/>
            <w:color w:val="FFFFFF" w:themeColor="background1"/>
          </w:rPr>
          <w:br/>
        </w:r>
        <w:r w:rsidR="00FC1F7E" w:rsidRPr="007C4F87">
          <w:rPr>
            <w:b/>
            <w:color w:val="FFFFFF" w:themeColor="background1"/>
          </w:rPr>
          <w:fldChar w:fldCharType="begin"/>
        </w:r>
        <w:r w:rsidR="007C4F87" w:rsidRPr="007C4F87">
          <w:rPr>
            <w:b/>
            <w:color w:val="FFFFFF" w:themeColor="background1"/>
          </w:rPr>
          <w:instrText xml:space="preserve"> PAGE   \* MERGEFORMAT </w:instrText>
        </w:r>
        <w:r w:rsidR="00FC1F7E" w:rsidRPr="007C4F87">
          <w:rPr>
            <w:b/>
            <w:color w:val="FFFFFF" w:themeColor="background1"/>
          </w:rPr>
          <w:fldChar w:fldCharType="separate"/>
        </w:r>
        <w:r w:rsidR="00680185">
          <w:rPr>
            <w:b/>
            <w:noProof/>
            <w:color w:val="FFFFFF" w:themeColor="background1"/>
          </w:rPr>
          <w:t>2</w:t>
        </w:r>
        <w:r w:rsidR="00FC1F7E"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B54"/>
    <w:multiLevelType w:val="multilevel"/>
    <w:tmpl w:val="8E2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50415"/>
    <w:multiLevelType w:val="multilevel"/>
    <w:tmpl w:val="9402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53490"/>
    <w:multiLevelType w:val="hybridMultilevel"/>
    <w:tmpl w:val="A2FC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A7AFB"/>
    <w:multiLevelType w:val="multilevel"/>
    <w:tmpl w:val="A2EE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C34EA5"/>
    <w:multiLevelType w:val="multilevel"/>
    <w:tmpl w:val="D05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2C325A"/>
    <w:multiLevelType w:val="multilevel"/>
    <w:tmpl w:val="AE1E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701C2D"/>
    <w:multiLevelType w:val="multilevel"/>
    <w:tmpl w:val="46EC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004DB2"/>
    <w:multiLevelType w:val="multilevel"/>
    <w:tmpl w:val="B68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594BC7"/>
    <w:multiLevelType w:val="multilevel"/>
    <w:tmpl w:val="B62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10"/>
  </w:num>
  <w:num w:numId="4">
    <w:abstractNumId w:val="11"/>
  </w:num>
  <w:num w:numId="5">
    <w:abstractNumId w:val="13"/>
  </w:num>
  <w:num w:numId="6">
    <w:abstractNumId w:val="2"/>
  </w:num>
  <w:num w:numId="7">
    <w:abstractNumId w:val="14"/>
  </w:num>
  <w:num w:numId="8">
    <w:abstractNumId w:val="7"/>
  </w:num>
  <w:num w:numId="9">
    <w:abstractNumId w:val="9"/>
  </w:num>
  <w:num w:numId="10">
    <w:abstractNumId w:val="3"/>
  </w:num>
  <w:num w:numId="11">
    <w:abstractNumId w:val="16"/>
  </w:num>
  <w:num w:numId="12">
    <w:abstractNumId w:val="1"/>
  </w:num>
  <w:num w:numId="13">
    <w:abstractNumId w:val="5"/>
  </w:num>
  <w:num w:numId="14">
    <w:abstractNumId w:val="12"/>
  </w:num>
  <w:num w:numId="15">
    <w:abstractNumId w:val="4"/>
  </w:num>
  <w:num w:numId="16">
    <w:abstractNumId w:val="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14AAD"/>
    <w:rsid w:val="0005607A"/>
    <w:rsid w:val="000743B7"/>
    <w:rsid w:val="00077E54"/>
    <w:rsid w:val="000B5A30"/>
    <w:rsid w:val="000B6900"/>
    <w:rsid w:val="000E0238"/>
    <w:rsid w:val="000F0037"/>
    <w:rsid w:val="001158E4"/>
    <w:rsid w:val="00145EFC"/>
    <w:rsid w:val="0015314B"/>
    <w:rsid w:val="001A0E2A"/>
    <w:rsid w:val="001A3F23"/>
    <w:rsid w:val="001B7ADF"/>
    <w:rsid w:val="001B7B83"/>
    <w:rsid w:val="001E2277"/>
    <w:rsid w:val="00207A24"/>
    <w:rsid w:val="002250DD"/>
    <w:rsid w:val="00235871"/>
    <w:rsid w:val="002464B7"/>
    <w:rsid w:val="00246E99"/>
    <w:rsid w:val="00246FEC"/>
    <w:rsid w:val="00251EAB"/>
    <w:rsid w:val="00262E9F"/>
    <w:rsid w:val="00284801"/>
    <w:rsid w:val="00296801"/>
    <w:rsid w:val="002B1D6E"/>
    <w:rsid w:val="002C6956"/>
    <w:rsid w:val="002D5228"/>
    <w:rsid w:val="002D583F"/>
    <w:rsid w:val="002D66D4"/>
    <w:rsid w:val="002E4601"/>
    <w:rsid w:val="002E7D99"/>
    <w:rsid w:val="002F5242"/>
    <w:rsid w:val="00324C41"/>
    <w:rsid w:val="0033417F"/>
    <w:rsid w:val="00376665"/>
    <w:rsid w:val="003B4C07"/>
    <w:rsid w:val="003D1A28"/>
    <w:rsid w:val="00401745"/>
    <w:rsid w:val="00433E35"/>
    <w:rsid w:val="00437199"/>
    <w:rsid w:val="0046517D"/>
    <w:rsid w:val="004B0CB8"/>
    <w:rsid w:val="004C2266"/>
    <w:rsid w:val="004C4FDD"/>
    <w:rsid w:val="005B708E"/>
    <w:rsid w:val="005E5A86"/>
    <w:rsid w:val="006047A4"/>
    <w:rsid w:val="0061088A"/>
    <w:rsid w:val="00660377"/>
    <w:rsid w:val="00670A70"/>
    <w:rsid w:val="00672DD2"/>
    <w:rsid w:val="00680185"/>
    <w:rsid w:val="006D1ECD"/>
    <w:rsid w:val="006F4364"/>
    <w:rsid w:val="006F6204"/>
    <w:rsid w:val="006F7D8D"/>
    <w:rsid w:val="007021E2"/>
    <w:rsid w:val="00707A15"/>
    <w:rsid w:val="00723BCB"/>
    <w:rsid w:val="007449F7"/>
    <w:rsid w:val="007464A5"/>
    <w:rsid w:val="007509E2"/>
    <w:rsid w:val="00766DF2"/>
    <w:rsid w:val="007B0566"/>
    <w:rsid w:val="007C4F87"/>
    <w:rsid w:val="007F21B2"/>
    <w:rsid w:val="0080312B"/>
    <w:rsid w:val="00852DA4"/>
    <w:rsid w:val="00860FA2"/>
    <w:rsid w:val="008663B2"/>
    <w:rsid w:val="00897E59"/>
    <w:rsid w:val="008A4950"/>
    <w:rsid w:val="008B3E47"/>
    <w:rsid w:val="008D5950"/>
    <w:rsid w:val="008E35A6"/>
    <w:rsid w:val="008E5F2A"/>
    <w:rsid w:val="0090051C"/>
    <w:rsid w:val="009019BB"/>
    <w:rsid w:val="009175C9"/>
    <w:rsid w:val="00952245"/>
    <w:rsid w:val="0095655B"/>
    <w:rsid w:val="009759FB"/>
    <w:rsid w:val="00986B42"/>
    <w:rsid w:val="00993238"/>
    <w:rsid w:val="009B092E"/>
    <w:rsid w:val="009E049D"/>
    <w:rsid w:val="00A80161"/>
    <w:rsid w:val="00A9571E"/>
    <w:rsid w:val="00AA50E2"/>
    <w:rsid w:val="00AB52FA"/>
    <w:rsid w:val="00AD0187"/>
    <w:rsid w:val="00AE01C9"/>
    <w:rsid w:val="00AF309A"/>
    <w:rsid w:val="00B12B0B"/>
    <w:rsid w:val="00B1561D"/>
    <w:rsid w:val="00B30588"/>
    <w:rsid w:val="00B3333A"/>
    <w:rsid w:val="00B33886"/>
    <w:rsid w:val="00B4476E"/>
    <w:rsid w:val="00B81065"/>
    <w:rsid w:val="00B82ABF"/>
    <w:rsid w:val="00B8664F"/>
    <w:rsid w:val="00B902A8"/>
    <w:rsid w:val="00B95519"/>
    <w:rsid w:val="00BC5408"/>
    <w:rsid w:val="00BF207E"/>
    <w:rsid w:val="00C36F99"/>
    <w:rsid w:val="00C43227"/>
    <w:rsid w:val="00C8361C"/>
    <w:rsid w:val="00C9150A"/>
    <w:rsid w:val="00CD6B7B"/>
    <w:rsid w:val="00CE3053"/>
    <w:rsid w:val="00CF7BAD"/>
    <w:rsid w:val="00D062AD"/>
    <w:rsid w:val="00D15FF0"/>
    <w:rsid w:val="00D16349"/>
    <w:rsid w:val="00D33E16"/>
    <w:rsid w:val="00D371D4"/>
    <w:rsid w:val="00D81C22"/>
    <w:rsid w:val="00DC01FD"/>
    <w:rsid w:val="00DE51E5"/>
    <w:rsid w:val="00E007BE"/>
    <w:rsid w:val="00E153C5"/>
    <w:rsid w:val="00E47699"/>
    <w:rsid w:val="00E70BF1"/>
    <w:rsid w:val="00E739DA"/>
    <w:rsid w:val="00E908CF"/>
    <w:rsid w:val="00EA7D02"/>
    <w:rsid w:val="00EE311F"/>
    <w:rsid w:val="00F10484"/>
    <w:rsid w:val="00F2138E"/>
    <w:rsid w:val="00F43B09"/>
    <w:rsid w:val="00F705CE"/>
    <w:rsid w:val="00FB7E00"/>
    <w:rsid w:val="00FC1F7E"/>
    <w:rsid w:val="00FD13CC"/>
    <w:rsid w:val="00FD1A93"/>
    <w:rsid w:val="00FE546B"/>
    <w:rsid w:val="00FF2F0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E2"/>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LightShading1">
    <w:name w:val="Light Shading1"/>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E2"/>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LightShading1">
    <w:name w:val="Light Shading1"/>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5086">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43294014">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185706205">
      <w:bodyDiv w:val="1"/>
      <w:marLeft w:val="0"/>
      <w:marRight w:val="0"/>
      <w:marTop w:val="0"/>
      <w:marBottom w:val="0"/>
      <w:divBdr>
        <w:top w:val="none" w:sz="0" w:space="0" w:color="auto"/>
        <w:left w:val="none" w:sz="0" w:space="0" w:color="auto"/>
        <w:bottom w:val="none" w:sz="0" w:space="0" w:color="auto"/>
        <w:right w:val="none" w:sz="0" w:space="0" w:color="auto"/>
      </w:divBdr>
    </w:div>
    <w:div w:id="1312368250">
      <w:bodyDiv w:val="1"/>
      <w:marLeft w:val="0"/>
      <w:marRight w:val="0"/>
      <w:marTop w:val="0"/>
      <w:marBottom w:val="0"/>
      <w:divBdr>
        <w:top w:val="none" w:sz="0" w:space="0" w:color="auto"/>
        <w:left w:val="none" w:sz="0" w:space="0" w:color="auto"/>
        <w:bottom w:val="none" w:sz="0" w:space="0" w:color="auto"/>
        <w:right w:val="none" w:sz="0" w:space="0" w:color="auto"/>
      </w:divBdr>
    </w:div>
    <w:div w:id="1318388148">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404641498">
      <w:bodyDiv w:val="1"/>
      <w:marLeft w:val="0"/>
      <w:marRight w:val="0"/>
      <w:marTop w:val="0"/>
      <w:marBottom w:val="0"/>
      <w:divBdr>
        <w:top w:val="none" w:sz="0" w:space="0" w:color="auto"/>
        <w:left w:val="none" w:sz="0" w:space="0" w:color="auto"/>
        <w:bottom w:val="none" w:sz="0" w:space="0" w:color="auto"/>
        <w:right w:val="none" w:sz="0" w:space="0" w:color="auto"/>
      </w:divBdr>
    </w:div>
    <w:div w:id="1507287873">
      <w:bodyDiv w:val="1"/>
      <w:marLeft w:val="0"/>
      <w:marRight w:val="0"/>
      <w:marTop w:val="0"/>
      <w:marBottom w:val="0"/>
      <w:divBdr>
        <w:top w:val="none" w:sz="0" w:space="0" w:color="auto"/>
        <w:left w:val="none" w:sz="0" w:space="0" w:color="auto"/>
        <w:bottom w:val="none" w:sz="0" w:space="0" w:color="auto"/>
        <w:right w:val="none" w:sz="0" w:space="0" w:color="auto"/>
      </w:divBdr>
    </w:div>
    <w:div w:id="1586307802">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20238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aqinationality.gov.iq/attach/iraqi_constitution.pdf" TargetMode="External"/><Relationship Id="rId18" Type="http://schemas.openxmlformats.org/officeDocument/2006/relationships/hyperlink" Target="http://www.ohchr.org/EN/HRBodies/UPR/Pages/IQSession20.aspx" TargetMode="External"/><Relationship Id="rId26" Type="http://schemas.openxmlformats.org/officeDocument/2006/relationships/hyperlink" Target="http://unhabitat.org/" TargetMode="External"/><Relationship Id="rId3" Type="http://schemas.openxmlformats.org/officeDocument/2006/relationships/styles" Target="styles.xml"/><Relationship Id="rId21" Type="http://schemas.openxmlformats.org/officeDocument/2006/relationships/hyperlink" Target="http://www.unicef.org/rwanda/RWA_resources_undaf2012.pdf"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indicators.ohchr.org/" TargetMode="External"/><Relationship Id="rId25" Type="http://schemas.openxmlformats.org/officeDocument/2006/relationships/hyperlink" Target="http://www.ohchr.org/EN/Pages/WelcomePage.aspx" TargetMode="External"/><Relationship Id="rId2" Type="http://schemas.openxmlformats.org/officeDocument/2006/relationships/numbering" Target="numbering.xml"/><Relationship Id="rId16" Type="http://schemas.openxmlformats.org/officeDocument/2006/relationships/hyperlink" Target="http://www.imariskan.gov.iq/en" TargetMode="External"/><Relationship Id="rId20" Type="http://schemas.openxmlformats.org/officeDocument/2006/relationships/hyperlink" Target="http://iq.one.un.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unhabitat.org/iraq/" TargetMode="External"/><Relationship Id="rId5" Type="http://schemas.openxmlformats.org/officeDocument/2006/relationships/settings" Target="settings.xml"/><Relationship Id="rId15" Type="http://schemas.openxmlformats.org/officeDocument/2006/relationships/hyperlink" Target="http://www.rha.gov.rw/fileadmin/user_upload/Documents/Laws_and_Regulation/National_Urban_housing_Policy_Dec_23.pdf" TargetMode="External"/><Relationship Id="rId23" Type="http://schemas.openxmlformats.org/officeDocument/2006/relationships/hyperlink" Target="http://un.org.np/reports/undaf-2013-2017" TargetMode="External"/><Relationship Id="rId28" Type="http://schemas.openxmlformats.org/officeDocument/2006/relationships/hyperlink" Target="http://www.ohchr.org/EN/Issues/Housing/Pages/HousingIndex.aspx"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daccess-dds-ny.un.org/doc/UNDOC/GEN/G14/140/16/PDF/G1414016.pdf?OpenEle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content.lib.utah.edu/utils/getfile/collection/qip/id/276/filename/277.pdf" TargetMode="External"/><Relationship Id="rId22" Type="http://schemas.openxmlformats.org/officeDocument/2006/relationships/hyperlink" Target="http://planipolis.iiep.unesco.org/upload/Iraq/Iraq_UNDAF_2015-2019.pdf" TargetMode="External"/><Relationship Id="rId27" Type="http://schemas.openxmlformats.org/officeDocument/2006/relationships/hyperlink" Target="http://www.ohchr.org/EN/HRBodies/UPR/Pages/UPRMain.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titutionnet.org/files/draft_constitution_of_nepal_2015_idea_tranlation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F266C451-A8BE-406A-8DEB-B652A29F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3</cp:revision>
  <cp:lastPrinted>2015-04-07T13:12:00Z</cp:lastPrinted>
  <dcterms:created xsi:type="dcterms:W3CDTF">2016-01-25T15:11:00Z</dcterms:created>
  <dcterms:modified xsi:type="dcterms:W3CDTF">2016-01-25T15:12:00Z</dcterms:modified>
</cp:coreProperties>
</file>