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A5" w:rsidRPr="004C67A5" w:rsidRDefault="00C943F8" w:rsidP="004C67A5">
      <w:pPr>
        <w:jc w:val="center"/>
        <w:rPr>
          <w:b/>
          <w:sz w:val="48"/>
        </w:rPr>
      </w:pPr>
      <w:r>
        <w:rPr>
          <w:b/>
          <w:sz w:val="48"/>
        </w:rPr>
        <w:t>The Gambia</w:t>
      </w:r>
      <w:r w:rsidR="001A78AB">
        <w:rPr>
          <w:b/>
          <w:sz w:val="48"/>
        </w:rPr>
        <w:t xml:space="preserve"> </w:t>
      </w:r>
      <w:r w:rsidR="00AE0E37">
        <w:rPr>
          <w:b/>
          <w:sz w:val="48"/>
        </w:rPr>
        <w:t xml:space="preserve"> </w:t>
      </w:r>
    </w:p>
    <w:p w:rsidR="00EC4399" w:rsidRPr="00EC4399" w:rsidRDefault="00AE4B5F" w:rsidP="00EC4399">
      <w:pPr>
        <w:jc w:val="both"/>
        <w:rPr>
          <w:i/>
          <w:sz w:val="24"/>
          <w:szCs w:val="24"/>
        </w:rPr>
      </w:pPr>
      <w:r>
        <w:rPr>
          <w:i/>
          <w:sz w:val="24"/>
          <w:szCs w:val="24"/>
        </w:rPr>
        <w:t xml:space="preserve">The purpose of the </w:t>
      </w:r>
      <w:r w:rsidR="00EC4399" w:rsidRPr="00EC4399">
        <w:rPr>
          <w:i/>
          <w:sz w:val="24"/>
          <w:szCs w:val="24"/>
        </w:rPr>
        <w:t>Housin</w:t>
      </w:r>
      <w:r>
        <w:rPr>
          <w:i/>
          <w:sz w:val="24"/>
          <w:szCs w:val="24"/>
        </w:rPr>
        <w:t>g Rights and Human Rights Brief</w:t>
      </w:r>
      <w:r w:rsidR="00EC4399" w:rsidRPr="00EC4399">
        <w:rPr>
          <w:i/>
          <w:sz w:val="24"/>
          <w:szCs w:val="24"/>
        </w:rPr>
        <w:t xml:space="preserve"> is to provide a succinct overview of housing rights and human settlements-related human rights within a specific country. It is designed for project designers to familiarize themselves with the human rights situation in the country that they are working i</w:t>
      </w:r>
      <w:r w:rsidR="001A6DD6">
        <w:rPr>
          <w:i/>
          <w:sz w:val="24"/>
          <w:szCs w:val="24"/>
        </w:rPr>
        <w:t xml:space="preserve">n. The </w:t>
      </w:r>
      <w:r w:rsidR="00EC4399" w:rsidRPr="00EC4399">
        <w:rPr>
          <w:i/>
          <w:sz w:val="24"/>
          <w:szCs w:val="24"/>
        </w:rPr>
        <w:t>Housin</w:t>
      </w:r>
      <w:r w:rsidR="001A6DD6">
        <w:rPr>
          <w:i/>
          <w:sz w:val="24"/>
          <w:szCs w:val="24"/>
        </w:rPr>
        <w:t>g Rights and Human Rights Brief</w:t>
      </w:r>
      <w:r w:rsidR="00EC4399" w:rsidRPr="00EC4399">
        <w:rPr>
          <w:i/>
          <w:sz w:val="24"/>
          <w:szCs w:val="24"/>
        </w:rPr>
        <w:t xml:space="preserve">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EC4399" w:rsidRPr="00EC4399" w:rsidRDefault="00EC4399" w:rsidP="00EC4399">
      <w:pPr>
        <w:jc w:val="both"/>
        <w:rPr>
          <w:i/>
          <w:sz w:val="24"/>
          <w:szCs w:val="24"/>
        </w:rPr>
      </w:pPr>
      <w:r w:rsidRPr="00EC4399">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B4476E" w:rsidRDefault="00B4476E" w:rsidP="00766D5B">
      <w:pPr>
        <w:jc w:val="both"/>
        <w:rPr>
          <w:i/>
          <w:sz w:val="24"/>
          <w:szCs w:val="24"/>
        </w:rPr>
      </w:pPr>
    </w:p>
    <w:p w:rsidR="00C36F99" w:rsidRPr="00F21E13" w:rsidRDefault="00C36F99" w:rsidP="00D86897">
      <w:pPr>
        <w:jc w:val="center"/>
      </w:pPr>
      <w:r>
        <w:t>Table of Contents</w:t>
      </w:r>
    </w:p>
    <w:tbl>
      <w:tblPr>
        <w:tblStyle w:val="LightShading"/>
        <w:tblW w:w="9612" w:type="dxa"/>
        <w:tblLook w:val="04A0" w:firstRow="1" w:lastRow="0" w:firstColumn="1" w:lastColumn="0" w:noHBand="0" w:noVBand="1"/>
      </w:tblPr>
      <w:tblGrid>
        <w:gridCol w:w="8748"/>
        <w:gridCol w:w="864"/>
      </w:tblGrid>
      <w:tr w:rsidR="00C36F99" w:rsidRPr="00F21E13" w:rsidTr="008B32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pPr>
            <w:r w:rsidRPr="00F21E13">
              <w:t>Chapter</w:t>
            </w:r>
          </w:p>
        </w:tc>
        <w:tc>
          <w:tcPr>
            <w:tcW w:w="864" w:type="dxa"/>
            <w:vAlign w:val="center"/>
          </w:tcPr>
          <w:p w:rsidR="00C36F99" w:rsidRPr="00F21E13" w:rsidRDefault="00C36F99" w:rsidP="008B32C4">
            <w:pPr>
              <w:jc w:val="both"/>
              <w:cnfStyle w:val="100000000000" w:firstRow="1" w:lastRow="0" w:firstColumn="0" w:lastColumn="0" w:oddVBand="0" w:evenVBand="0" w:oddHBand="0" w:evenHBand="0" w:firstRowFirstColumn="0" w:firstRowLastColumn="0" w:lastRowFirstColumn="0" w:lastRowLastColumn="0"/>
            </w:pPr>
            <w:r w:rsidRPr="00F21E13">
              <w:t>Page</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Summary</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2</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National Legal Framework relating to Human Rights in Urban Contexts</w:t>
            </w:r>
          </w:p>
        </w:tc>
        <w:tc>
          <w:tcPr>
            <w:tcW w:w="864" w:type="dxa"/>
            <w:vAlign w:val="center"/>
          </w:tcPr>
          <w:p w:rsidR="00C36F99" w:rsidRPr="00F21E13" w:rsidRDefault="00536263" w:rsidP="008B32C4">
            <w:pPr>
              <w:jc w:val="both"/>
              <w:cnfStyle w:val="000000000000" w:firstRow="0" w:lastRow="0" w:firstColumn="0" w:lastColumn="0" w:oddVBand="0" w:evenVBand="0" w:oddHBand="0" w:evenHBand="0" w:firstRowFirstColumn="0" w:firstRowLastColumn="0" w:lastRowFirstColumn="0" w:lastRowLastColumn="0"/>
            </w:pPr>
            <w:r>
              <w:t>3</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Government Structures and Institutional Setup</w:t>
            </w:r>
          </w:p>
        </w:tc>
        <w:tc>
          <w:tcPr>
            <w:tcW w:w="864" w:type="dxa"/>
            <w:vAlign w:val="center"/>
          </w:tcPr>
          <w:p w:rsidR="00C36F99" w:rsidRPr="00F21E13" w:rsidRDefault="00536263" w:rsidP="008B32C4">
            <w:pPr>
              <w:jc w:val="both"/>
              <w:cnfStyle w:val="000000100000" w:firstRow="0" w:lastRow="0" w:firstColumn="0" w:lastColumn="0" w:oddVBand="0" w:evenVBand="0" w:oddHBand="1" w:evenHBand="0" w:firstRowFirstColumn="0" w:firstRowLastColumn="0" w:lastRowFirstColumn="0" w:lastRowLastColumn="0"/>
            </w:pPr>
            <w:r>
              <w:t>3</w:t>
            </w:r>
            <w:bookmarkStart w:id="0" w:name="_GoBack"/>
            <w:bookmarkEnd w:id="0"/>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International Conventions</w:t>
            </w:r>
          </w:p>
        </w:tc>
        <w:tc>
          <w:tcPr>
            <w:tcW w:w="864" w:type="dxa"/>
            <w:vAlign w:val="center"/>
          </w:tcPr>
          <w:p w:rsidR="00C36F99" w:rsidRPr="00F21E13" w:rsidRDefault="005F6BDF" w:rsidP="008B32C4">
            <w:pPr>
              <w:jc w:val="both"/>
              <w:cnfStyle w:val="000000000000" w:firstRow="0" w:lastRow="0" w:firstColumn="0" w:lastColumn="0" w:oddVBand="0" w:evenVBand="0" w:oddHBand="0" w:evenHBand="0" w:firstRowFirstColumn="0" w:firstRowLastColumn="0" w:lastRowFirstColumn="0" w:lastRowLastColumn="0"/>
            </w:pPr>
            <w:r>
              <w:t>5</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 Reviews (UN Country Team, Special Rapporteur Reports, UNDAF and other Delivering as One initiatives, including Human Rights Up Front)</w:t>
            </w:r>
          </w:p>
        </w:tc>
        <w:tc>
          <w:tcPr>
            <w:tcW w:w="864" w:type="dxa"/>
            <w:vAlign w:val="center"/>
          </w:tcPr>
          <w:p w:rsidR="00C36F99" w:rsidRPr="00F21E13" w:rsidRDefault="001A6DD6" w:rsidP="008B32C4">
            <w:pPr>
              <w:jc w:val="both"/>
              <w:cnfStyle w:val="000000100000" w:firstRow="0" w:lastRow="0" w:firstColumn="0" w:lastColumn="0" w:oddVBand="0" w:evenVBand="0" w:oddHBand="1" w:evenHBand="0" w:firstRowFirstColumn="0" w:firstRowLastColumn="0" w:lastRowFirstColumn="0" w:lastRowLastColumn="0"/>
            </w:pPr>
            <w:r>
              <w:t>6</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Universal Periodic Review (UPR) and Human Rights Council</w:t>
            </w:r>
          </w:p>
        </w:tc>
        <w:tc>
          <w:tcPr>
            <w:tcW w:w="864" w:type="dxa"/>
            <w:vAlign w:val="center"/>
          </w:tcPr>
          <w:p w:rsidR="00C36F99" w:rsidRPr="00F21E13" w:rsidRDefault="001A6DD6" w:rsidP="008B32C4">
            <w:pPr>
              <w:jc w:val="both"/>
              <w:cnfStyle w:val="000000000000" w:firstRow="0" w:lastRow="0" w:firstColumn="0" w:lastColumn="0" w:oddVBand="0" w:evenVBand="0" w:oddHBand="0" w:evenHBand="0" w:firstRowFirstColumn="0" w:firstRowLastColumn="0" w:lastRowFirstColumn="0" w:lastRowLastColumn="0"/>
            </w:pPr>
            <w:r>
              <w:t>6</w:t>
            </w:r>
          </w:p>
        </w:tc>
      </w:tr>
      <w:tr w:rsidR="00C36F99" w:rsidRPr="00F21E13" w:rsidTr="008B3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UN-Habitat Engagement at Project Level</w:t>
            </w:r>
          </w:p>
        </w:tc>
        <w:tc>
          <w:tcPr>
            <w:tcW w:w="864" w:type="dxa"/>
            <w:vAlign w:val="center"/>
          </w:tcPr>
          <w:p w:rsidR="00C36F99" w:rsidRPr="00F21E13" w:rsidRDefault="00421BB5" w:rsidP="008B32C4">
            <w:pPr>
              <w:jc w:val="both"/>
              <w:cnfStyle w:val="000000100000" w:firstRow="0" w:lastRow="0" w:firstColumn="0" w:lastColumn="0" w:oddVBand="0" w:evenVBand="0" w:oddHBand="1" w:evenHBand="0" w:firstRowFirstColumn="0" w:firstRowLastColumn="0" w:lastRowFirstColumn="0" w:lastRowLastColumn="0"/>
            </w:pPr>
            <w:r>
              <w:t>8</w:t>
            </w:r>
          </w:p>
        </w:tc>
      </w:tr>
      <w:tr w:rsidR="00C36F99" w:rsidRPr="00F21E13" w:rsidTr="008B32C4">
        <w:tc>
          <w:tcPr>
            <w:cnfStyle w:val="001000000000" w:firstRow="0" w:lastRow="0" w:firstColumn="1" w:lastColumn="0" w:oddVBand="0" w:evenVBand="0" w:oddHBand="0" w:evenHBand="0" w:firstRowFirstColumn="0" w:firstRowLastColumn="0" w:lastRowFirstColumn="0" w:lastRowLastColumn="0"/>
            <w:tcW w:w="8748" w:type="dxa"/>
          </w:tcPr>
          <w:p w:rsidR="00C36F99" w:rsidRPr="00F21E13" w:rsidRDefault="00C36F99" w:rsidP="008B32C4">
            <w:pPr>
              <w:jc w:val="both"/>
              <w:rPr>
                <w:b w:val="0"/>
              </w:rPr>
            </w:pPr>
            <w:r w:rsidRPr="00F21E13">
              <w:rPr>
                <w:b w:val="0"/>
              </w:rPr>
              <w:t>Further Information</w:t>
            </w:r>
          </w:p>
        </w:tc>
        <w:tc>
          <w:tcPr>
            <w:tcW w:w="864" w:type="dxa"/>
            <w:vAlign w:val="center"/>
          </w:tcPr>
          <w:p w:rsidR="00C36F99" w:rsidRPr="00F21E13" w:rsidRDefault="001A6DD6" w:rsidP="008B32C4">
            <w:pPr>
              <w:jc w:val="both"/>
              <w:cnfStyle w:val="000000000000" w:firstRow="0" w:lastRow="0" w:firstColumn="0" w:lastColumn="0" w:oddVBand="0" w:evenVBand="0" w:oddHBand="0" w:evenHBand="0" w:firstRowFirstColumn="0" w:firstRowLastColumn="0" w:lastRowFirstColumn="0" w:lastRowLastColumn="0"/>
            </w:pPr>
            <w:r>
              <w:t>9</w:t>
            </w:r>
          </w:p>
        </w:tc>
      </w:tr>
    </w:tbl>
    <w:p w:rsidR="00C36F99" w:rsidRDefault="00C36F99" w:rsidP="00C36F99">
      <w:pPr>
        <w:pStyle w:val="ListParagraph"/>
        <w:rPr>
          <w:sz w:val="24"/>
          <w:szCs w:val="24"/>
        </w:rPr>
      </w:pPr>
    </w:p>
    <w:p w:rsidR="00C36F99" w:rsidRPr="00CF7BAD" w:rsidRDefault="00C36F99" w:rsidP="00C36F99">
      <w:pPr>
        <w:pStyle w:val="ListParagraph"/>
        <w:rPr>
          <w:sz w:val="24"/>
          <w:szCs w:val="24"/>
        </w:rPr>
      </w:pPr>
    </w:p>
    <w:p w:rsidR="00C36F99" w:rsidRPr="00E70BF1" w:rsidRDefault="00C36F99" w:rsidP="00C36F99">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C36F99" w:rsidRPr="00E70BF1" w:rsidTr="008B32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E70BF1" w:rsidRDefault="00C36F99" w:rsidP="008B32C4">
            <w:pPr>
              <w:spacing w:line="276" w:lineRule="auto"/>
              <w:jc w:val="center"/>
            </w:pPr>
            <w:r w:rsidRPr="00E70BF1">
              <w:t>Rev</w:t>
            </w:r>
            <w:r>
              <w:t>i</w:t>
            </w:r>
            <w:r w:rsidRPr="00E70BF1">
              <w:t>sion</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C36F99" w:rsidRPr="00E70BF1" w:rsidRDefault="00C36F99" w:rsidP="008B32C4">
            <w:pPr>
              <w:spacing w:line="276" w:lineRule="auto"/>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80312B" w:rsidRDefault="00D86897" w:rsidP="008B32C4">
            <w:pPr>
              <w:spacing w:line="276" w:lineRule="auto"/>
              <w:jc w:val="center"/>
              <w:rPr>
                <w:b w:val="0"/>
                <w:i/>
              </w:rPr>
            </w:pPr>
            <w:r>
              <w:rPr>
                <w:b w:val="0"/>
                <w:i/>
              </w:rPr>
              <w:t xml:space="preserve"> </w:t>
            </w:r>
            <w:r w:rsidR="00D26281">
              <w:rPr>
                <w:b w:val="0"/>
                <w:i/>
              </w:rPr>
              <w:t>1</w:t>
            </w:r>
          </w:p>
        </w:tc>
        <w:tc>
          <w:tcPr>
            <w:tcW w:w="3081" w:type="dxa"/>
          </w:tcPr>
          <w:p w:rsidR="00C36F99" w:rsidRPr="0080312B" w:rsidRDefault="00D86897" w:rsidP="004C67A5">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 xml:space="preserve"> </w:t>
            </w:r>
            <w:r w:rsidR="004C67A5">
              <w:rPr>
                <w:i/>
              </w:rPr>
              <w:t xml:space="preserve"> -</w:t>
            </w:r>
          </w:p>
        </w:tc>
        <w:tc>
          <w:tcPr>
            <w:tcW w:w="3081" w:type="dxa"/>
          </w:tcPr>
          <w:p w:rsidR="00C36F99" w:rsidRPr="0080312B" w:rsidRDefault="00D26281"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SN</w:t>
            </w:r>
            <w:r w:rsidR="00D86897">
              <w:rPr>
                <w:i/>
              </w:rPr>
              <w:t xml:space="preserve"> </w:t>
            </w:r>
          </w:p>
        </w:tc>
      </w:tr>
      <w:tr w:rsidR="00C36F99" w:rsidRPr="000B7719" w:rsidTr="008B32C4">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0B7719" w:rsidRDefault="00D86897" w:rsidP="008B32C4">
            <w:pPr>
              <w:spacing w:line="276" w:lineRule="auto"/>
              <w:jc w:val="center"/>
              <w:rPr>
                <w:b w:val="0"/>
                <w:i/>
              </w:rPr>
            </w:pPr>
            <w:r>
              <w:rPr>
                <w:b w:val="0"/>
                <w:i/>
              </w:rPr>
              <w:t xml:space="preserve"> </w:t>
            </w:r>
            <w:r w:rsidR="004C67A5">
              <w:rPr>
                <w:b w:val="0"/>
                <w:i/>
              </w:rPr>
              <w:t>2</w:t>
            </w:r>
          </w:p>
        </w:tc>
        <w:tc>
          <w:tcPr>
            <w:tcW w:w="3081" w:type="dxa"/>
          </w:tcPr>
          <w:p w:rsidR="00C36F99" w:rsidRPr="000B7719" w:rsidRDefault="004C67A5" w:rsidP="00421BB5">
            <w:pPr>
              <w:spacing w:line="276"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421BB5">
              <w:rPr>
                <w:i/>
              </w:rPr>
              <w:t>5</w:t>
            </w:r>
            <w:r>
              <w:rPr>
                <w:i/>
              </w:rPr>
              <w:t>/01/</w:t>
            </w:r>
            <w:r w:rsidR="00B5279F">
              <w:rPr>
                <w:i/>
              </w:rPr>
              <w:t>20</w:t>
            </w:r>
            <w:r>
              <w:rPr>
                <w:i/>
              </w:rPr>
              <w:t>16</w:t>
            </w:r>
            <w:r w:rsidR="00D86897">
              <w:rPr>
                <w:i/>
              </w:rPr>
              <w:t xml:space="preserve"> </w:t>
            </w:r>
          </w:p>
        </w:tc>
        <w:tc>
          <w:tcPr>
            <w:tcW w:w="3081" w:type="dxa"/>
          </w:tcPr>
          <w:p w:rsidR="00C36F99" w:rsidRPr="000B7719" w:rsidRDefault="004C67A5" w:rsidP="004C67A5">
            <w:pPr>
              <w:spacing w:line="276" w:lineRule="auto"/>
              <w:cnfStyle w:val="000000000000" w:firstRow="0" w:lastRow="0" w:firstColumn="0" w:lastColumn="0" w:oddVBand="0" w:evenVBand="0" w:oddHBand="0" w:evenHBand="0" w:firstRowFirstColumn="0" w:firstRowLastColumn="0" w:lastRowFirstColumn="0" w:lastRowLastColumn="0"/>
              <w:rPr>
                <w:i/>
              </w:rPr>
            </w:pPr>
            <w:r>
              <w:rPr>
                <w:i/>
              </w:rPr>
              <w:t xml:space="preserve">                         </w:t>
            </w:r>
            <w:r w:rsidR="00D86897">
              <w:rPr>
                <w:i/>
              </w:rPr>
              <w:t xml:space="preserve"> </w:t>
            </w:r>
            <w:r>
              <w:rPr>
                <w:i/>
              </w:rPr>
              <w:t>SN</w:t>
            </w:r>
          </w:p>
        </w:tc>
      </w:tr>
      <w:tr w:rsidR="00C36F99" w:rsidTr="008B32C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C36F99" w:rsidRPr="002863BB" w:rsidRDefault="00B5279F" w:rsidP="008B32C4">
            <w:pPr>
              <w:spacing w:line="276" w:lineRule="auto"/>
              <w:jc w:val="center"/>
              <w:rPr>
                <w:b w:val="0"/>
                <w:i/>
              </w:rPr>
            </w:pPr>
            <w:r>
              <w:rPr>
                <w:b w:val="0"/>
                <w:i/>
              </w:rPr>
              <w:t>3</w:t>
            </w:r>
          </w:p>
        </w:tc>
        <w:tc>
          <w:tcPr>
            <w:tcW w:w="3081" w:type="dxa"/>
          </w:tcPr>
          <w:p w:rsidR="00C36F99" w:rsidRPr="002863BB" w:rsidRDefault="00B5279F"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09/02/2016</w:t>
            </w:r>
          </w:p>
        </w:tc>
        <w:tc>
          <w:tcPr>
            <w:tcW w:w="3081" w:type="dxa"/>
          </w:tcPr>
          <w:p w:rsidR="00C36F99" w:rsidRPr="002863BB" w:rsidRDefault="00B5279F" w:rsidP="008B32C4">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Pr>
                <w:i/>
              </w:rPr>
              <w:t>SG</w:t>
            </w:r>
          </w:p>
        </w:tc>
      </w:tr>
    </w:tbl>
    <w:p w:rsidR="002E7D99" w:rsidRPr="00707A15" w:rsidRDefault="00C36F99" w:rsidP="002250DD">
      <w:pPr>
        <w:rPr>
          <w:b/>
          <w:sz w:val="32"/>
        </w:rPr>
      </w:pPr>
      <w:r>
        <w:rPr>
          <w:b/>
        </w:rPr>
        <w:br w:type="page"/>
      </w:r>
      <w:r w:rsidR="00707A15" w:rsidRPr="00707A15">
        <w:rPr>
          <w:b/>
          <w:sz w:val="32"/>
        </w:rPr>
        <w:lastRenderedPageBreak/>
        <w:t>Summary</w:t>
      </w:r>
    </w:p>
    <w:p w:rsidR="00B5279F" w:rsidRDefault="00C943F8" w:rsidP="00C943F8">
      <w:pPr>
        <w:jc w:val="both"/>
      </w:pPr>
      <w:r w:rsidRPr="00C943F8">
        <w:t xml:space="preserve">The </w:t>
      </w:r>
      <w:r w:rsidR="00B5279F">
        <w:t>C</w:t>
      </w:r>
      <w:r w:rsidRPr="00C943F8">
        <w:t>onstitution</w:t>
      </w:r>
      <w:r w:rsidR="00B5279F">
        <w:t xml:space="preserve"> of </w:t>
      </w:r>
      <w:r w:rsidR="00B5279F" w:rsidRPr="00BC4588">
        <w:t>The Gambia</w:t>
      </w:r>
      <w:r w:rsidRPr="00C943F8">
        <w:t xml:space="preserve"> came into effect in 1997</w:t>
      </w:r>
      <w:r w:rsidR="00B5279F">
        <w:t>.</w:t>
      </w:r>
      <w:r w:rsidR="00BC4588" w:rsidRPr="00BC4588">
        <w:t xml:space="preserve"> </w:t>
      </w:r>
      <w:r w:rsidR="001A6DD6">
        <w:t>While t</w:t>
      </w:r>
      <w:r w:rsidR="00BC4588">
        <w:t>he Constitution does not provide for the right to adequate housing</w:t>
      </w:r>
      <w:r w:rsidR="001A6DD6">
        <w:t>, p</w:t>
      </w:r>
      <w:r w:rsidR="00BC4588" w:rsidRPr="00C943F8">
        <w:t>rotect</w:t>
      </w:r>
      <w:r w:rsidR="00BC4588">
        <w:t>ion</w:t>
      </w:r>
      <w:r w:rsidR="00BC4588" w:rsidRPr="00C943F8">
        <w:t xml:space="preserve"> against </w:t>
      </w:r>
      <w:r w:rsidR="00BC4588">
        <w:t>deprivation of property is</w:t>
      </w:r>
      <w:r w:rsidR="001A6DD6" w:rsidRPr="001A6DD6">
        <w:t xml:space="preserve"> </w:t>
      </w:r>
      <w:r w:rsidR="001A6DD6">
        <w:t>enshrined</w:t>
      </w:r>
      <w:r w:rsidR="00BC4588">
        <w:t>. The Constitution also contains a provision on compulsory acquisition of land which involves displacement, and the obligation</w:t>
      </w:r>
      <w:r w:rsidR="001A6DD6">
        <w:t xml:space="preserve"> of the Government</w:t>
      </w:r>
      <w:r w:rsidR="00BC4588">
        <w:t xml:space="preserve"> to resettle the displaced inhabitants on suitable alternative land</w:t>
      </w:r>
      <w:r w:rsidRPr="00C943F8">
        <w:t xml:space="preserve">. </w:t>
      </w:r>
    </w:p>
    <w:p w:rsidR="001A6DD6" w:rsidRDefault="00C943F8" w:rsidP="00C943F8">
      <w:pPr>
        <w:jc w:val="both"/>
      </w:pPr>
      <w:r w:rsidRPr="00C943F8">
        <w:t xml:space="preserve">The Ministry of Local Governments and Land is the key </w:t>
      </w:r>
      <w:r w:rsidR="001A6DD6">
        <w:t>ministry</w:t>
      </w:r>
      <w:r w:rsidRPr="00C943F8">
        <w:t xml:space="preserve"> in </w:t>
      </w:r>
      <w:r w:rsidR="00B5279F">
        <w:t xml:space="preserve">realizing </w:t>
      </w:r>
      <w:r w:rsidR="001A6DD6">
        <w:t>the right to adequate housing, and t</w:t>
      </w:r>
      <w:r w:rsidRPr="00C943F8">
        <w:t>he Land Commission is responsible for land administration and property disputes. The National Development Strategy</w:t>
      </w:r>
      <w:r w:rsidR="001A6DD6">
        <w:t xml:space="preserve"> (Vision 2020)</w:t>
      </w:r>
      <w:r w:rsidRPr="00C943F8">
        <w:t xml:space="preserve"> </w:t>
      </w:r>
      <w:r w:rsidR="001A6DD6">
        <w:t>contains goals related to access to housing.</w:t>
      </w:r>
    </w:p>
    <w:p w:rsidR="00C943F8" w:rsidRPr="00C943F8" w:rsidRDefault="00B5279F" w:rsidP="00C943F8">
      <w:pPr>
        <w:jc w:val="both"/>
      </w:pPr>
      <w:r>
        <w:t>T</w:t>
      </w:r>
      <w:r w:rsidR="00C943F8" w:rsidRPr="00C943F8">
        <w:t xml:space="preserve">he Gambia has ratified </w:t>
      </w:r>
      <w:r>
        <w:t xml:space="preserve">almost all major </w:t>
      </w:r>
      <w:r w:rsidR="00C943F8" w:rsidRPr="00C943F8">
        <w:t xml:space="preserve">international </w:t>
      </w:r>
      <w:r>
        <w:t xml:space="preserve">human rights </w:t>
      </w:r>
      <w:r w:rsidR="00C943F8" w:rsidRPr="00C943F8">
        <w:t>conventions,</w:t>
      </w:r>
      <w:r>
        <w:t xml:space="preserve"> including</w:t>
      </w:r>
      <w:r w:rsidR="00C943F8" w:rsidRPr="00C943F8">
        <w:t xml:space="preserve"> the International Covenant on Economic, Social and Cultural Rights, which contains the </w:t>
      </w:r>
      <w:r>
        <w:t>r</w:t>
      </w:r>
      <w:r w:rsidR="00C943F8" w:rsidRPr="00C943F8">
        <w:t>ight to</w:t>
      </w:r>
      <w:r>
        <w:t xml:space="preserve"> adequate housing, as a component of the right to</w:t>
      </w:r>
      <w:r w:rsidR="00C943F8" w:rsidRPr="00C943F8">
        <w:t xml:space="preserve"> an </w:t>
      </w:r>
      <w:r>
        <w:t>a</w:t>
      </w:r>
      <w:r w:rsidR="00C943F8" w:rsidRPr="00C943F8">
        <w:t xml:space="preserve">dequate </w:t>
      </w:r>
      <w:r>
        <w:t>s</w:t>
      </w:r>
      <w:r w:rsidR="00C943F8" w:rsidRPr="00C943F8">
        <w:t xml:space="preserve">tandard of </w:t>
      </w:r>
      <w:r>
        <w:t>l</w:t>
      </w:r>
      <w:r w:rsidR="00C943F8" w:rsidRPr="00C943F8">
        <w:t xml:space="preserve">iving. </w:t>
      </w:r>
    </w:p>
    <w:p w:rsidR="00C943F8" w:rsidRPr="00C943F8" w:rsidRDefault="001A67E7" w:rsidP="00421BB5">
      <w:pPr>
        <w:jc w:val="both"/>
      </w:pPr>
      <w:r>
        <w:rPr>
          <w:rFonts w:eastAsia="Times New Roman" w:cstheme="minorHAnsi"/>
          <w:color w:val="000000"/>
          <w:lang w:eastAsia="en-AU"/>
        </w:rPr>
        <w:t xml:space="preserve">UN review mechanisms have expressed concerns over </w:t>
      </w:r>
      <w:r w:rsidRPr="00855C17">
        <w:rPr>
          <w:rFonts w:cstheme="minorHAnsi"/>
          <w:bCs/>
        </w:rPr>
        <w:t>population movement to unplanned and unregulated settlements in urban areas, which lack adequate housing and where there is often no access to safe drinking water and adequate sanitation</w:t>
      </w:r>
      <w:r>
        <w:rPr>
          <w:rFonts w:cstheme="minorHAnsi"/>
          <w:bCs/>
        </w:rPr>
        <w:t xml:space="preserve">. </w:t>
      </w:r>
      <w:r w:rsidR="00C943F8" w:rsidRPr="00C943F8">
        <w:t xml:space="preserve">UN-Habitat is </w:t>
      </w:r>
      <w:r w:rsidR="00BC4588">
        <w:t>assisting</w:t>
      </w:r>
      <w:r w:rsidR="00BC4588" w:rsidRPr="00C943F8">
        <w:t xml:space="preserve"> </w:t>
      </w:r>
      <w:r w:rsidR="001A6DD6">
        <w:t xml:space="preserve">government of </w:t>
      </w:r>
      <w:r w:rsidR="00BC4588">
        <w:t>T</w:t>
      </w:r>
      <w:r w:rsidR="00C943F8" w:rsidRPr="00C943F8">
        <w:t>he Gambia through the Participatory Slum Upgrading Pro</w:t>
      </w:r>
      <w:r w:rsidR="00BC4588">
        <w:t>gramme</w:t>
      </w:r>
      <w:r w:rsidR="00C943F8" w:rsidRPr="00C943F8">
        <w:t>.</w:t>
      </w:r>
    </w:p>
    <w:p w:rsidR="00703E47" w:rsidRDefault="00C943F8" w:rsidP="002250DD">
      <w:r>
        <w:t xml:space="preserve"> </w:t>
      </w:r>
    </w:p>
    <w:p w:rsidR="00C943F8" w:rsidRDefault="00C943F8" w:rsidP="002250DD"/>
    <w:p w:rsidR="00C943F8" w:rsidRDefault="00C943F8" w:rsidP="002250DD"/>
    <w:p w:rsidR="00C943F8" w:rsidRDefault="00C943F8" w:rsidP="002250DD"/>
    <w:p w:rsidR="00C943F8" w:rsidRDefault="00C943F8" w:rsidP="002250DD"/>
    <w:p w:rsidR="00C943F8" w:rsidRDefault="00C943F8" w:rsidP="002250DD"/>
    <w:p w:rsidR="00C943F8" w:rsidRDefault="00C943F8" w:rsidP="002250DD"/>
    <w:p w:rsidR="00C943F8" w:rsidRDefault="00C943F8" w:rsidP="002250DD">
      <w:pPr>
        <w:rPr>
          <w:b/>
          <w:sz w:val="28"/>
        </w:rPr>
      </w:pPr>
    </w:p>
    <w:p w:rsidR="001A6DD6" w:rsidRDefault="001A6DD6">
      <w:pPr>
        <w:rPr>
          <w:b/>
          <w:sz w:val="28"/>
        </w:rPr>
      </w:pPr>
      <w:r>
        <w:rPr>
          <w:b/>
          <w:sz w:val="28"/>
        </w:rPr>
        <w:br w:type="page"/>
      </w:r>
    </w:p>
    <w:p w:rsidR="002E7D99" w:rsidRPr="00437199" w:rsidRDefault="0080312B" w:rsidP="002250DD">
      <w:pPr>
        <w:rPr>
          <w:b/>
          <w:sz w:val="28"/>
        </w:rPr>
      </w:pPr>
      <w:r w:rsidRPr="00437199">
        <w:rPr>
          <w:b/>
          <w:sz w:val="28"/>
        </w:rPr>
        <w:lastRenderedPageBreak/>
        <w:t>Legal Framework</w:t>
      </w:r>
    </w:p>
    <w:p w:rsidR="00C943F8" w:rsidRPr="00C943F8" w:rsidRDefault="00C943F8" w:rsidP="00C943F8">
      <w:pPr>
        <w:jc w:val="both"/>
        <w:rPr>
          <w:b/>
          <w:i/>
        </w:rPr>
      </w:pPr>
      <w:r w:rsidRPr="00C943F8">
        <w:rPr>
          <w:b/>
          <w:i/>
        </w:rPr>
        <w:t>Constitution</w:t>
      </w:r>
      <w:r w:rsidRPr="00C943F8">
        <w:rPr>
          <w:b/>
          <w:i/>
          <w:vertAlign w:val="superscript"/>
        </w:rPr>
        <w:footnoteReference w:id="1"/>
      </w:r>
    </w:p>
    <w:p w:rsidR="00C943F8" w:rsidRPr="00C943F8" w:rsidRDefault="00C943F8" w:rsidP="00C943F8">
      <w:pPr>
        <w:jc w:val="both"/>
      </w:pPr>
      <w:r w:rsidRPr="00C943F8">
        <w:t>The Constitution of the Second Republic of The Gambia</w:t>
      </w:r>
      <w:r w:rsidR="001A6DD6">
        <w:t xml:space="preserve"> </w:t>
      </w:r>
      <w:r w:rsidRPr="00C943F8">
        <w:t>was approved in a national referendum on 8 August 1996</w:t>
      </w:r>
      <w:r w:rsidR="001A67E7">
        <w:t xml:space="preserve"> and</w:t>
      </w:r>
      <w:r w:rsidRPr="00C943F8">
        <w:t xml:space="preserve"> came into effect on 16 January 1997.</w:t>
      </w:r>
      <w:r w:rsidR="00BC4588">
        <w:t xml:space="preserve"> </w:t>
      </w:r>
      <w:r w:rsidR="001A6DD6">
        <w:t>While the Constitution does not provide for the right to adequate housing, p</w:t>
      </w:r>
      <w:r w:rsidR="001A6DD6" w:rsidRPr="00C943F8">
        <w:t>rotect</w:t>
      </w:r>
      <w:r w:rsidR="001A6DD6">
        <w:t>ion</w:t>
      </w:r>
      <w:r w:rsidR="001A6DD6" w:rsidRPr="00C943F8">
        <w:t xml:space="preserve"> against </w:t>
      </w:r>
      <w:r w:rsidR="001A6DD6">
        <w:t xml:space="preserve">deprivation of property is </w:t>
      </w:r>
      <w:r w:rsidR="001A6DD6">
        <w:t>enshrined</w:t>
      </w:r>
      <w:r w:rsidR="001A6DD6">
        <w:t>. The Constitution also contains a provision on compulsory acquisition of land which involves displacement, and the obligation of the Government to resettle the displaced inhabitants on suitable alternative land</w:t>
      </w:r>
      <w:r w:rsidR="001A6DD6" w:rsidRPr="00C943F8">
        <w:t xml:space="preserve">. </w:t>
      </w:r>
    </w:p>
    <w:p w:rsidR="00C943F8" w:rsidRPr="00C943F8" w:rsidRDefault="00C943F8" w:rsidP="00C943F8">
      <w:pPr>
        <w:jc w:val="both"/>
      </w:pPr>
      <w:r>
        <w:t xml:space="preserve">‘Article </w:t>
      </w:r>
      <w:r w:rsidRPr="00C943F8">
        <w:t xml:space="preserve">22: </w:t>
      </w:r>
      <w:r>
        <w:t xml:space="preserve"> From Deprivation of property:</w:t>
      </w:r>
    </w:p>
    <w:p w:rsidR="00C943F8" w:rsidRPr="00C943F8" w:rsidRDefault="00C943F8" w:rsidP="00C943F8">
      <w:pPr>
        <w:jc w:val="both"/>
      </w:pPr>
      <w:r w:rsidRPr="00C943F8">
        <w:t>1) No property of any description shall be taken possession of from deprivation compulsorily, and no right over or interest in any such of property shall be acquired compulsorily in any part of The Gambia, except where the following conditions are satisfied [….]</w:t>
      </w:r>
    </w:p>
    <w:p w:rsidR="00C943F8" w:rsidRPr="00C943F8" w:rsidRDefault="00C943F8" w:rsidP="00C943F8">
      <w:pPr>
        <w:jc w:val="both"/>
      </w:pPr>
      <w:r w:rsidRPr="00C943F8">
        <w:t>4) Where a compulsory acquisition of land by or on behalf of the Government involves the displacement of any inhabitant who occupy the land under customary law, the Government shall resettle the displaced inhabitants on suitable alternative land with due regard to their economic well-being and social and cultural values.</w:t>
      </w:r>
      <w:r>
        <w:t>’</w:t>
      </w:r>
    </w:p>
    <w:p w:rsidR="001A78AB" w:rsidRPr="001A78AB" w:rsidRDefault="001A78AB" w:rsidP="001A78AB">
      <w:pPr>
        <w:jc w:val="both"/>
        <w:rPr>
          <w:b/>
        </w:rPr>
      </w:pPr>
    </w:p>
    <w:p w:rsidR="002E7D99" w:rsidRPr="00437199" w:rsidRDefault="002E7D99" w:rsidP="00670A70">
      <w:pPr>
        <w:jc w:val="both"/>
        <w:rPr>
          <w:b/>
          <w:sz w:val="28"/>
        </w:rPr>
      </w:pPr>
      <w:r w:rsidRPr="00437199">
        <w:rPr>
          <w:b/>
          <w:sz w:val="28"/>
        </w:rPr>
        <w:t>Government</w:t>
      </w:r>
    </w:p>
    <w:p w:rsidR="00437199" w:rsidRDefault="0080312B" w:rsidP="00670A70">
      <w:pPr>
        <w:jc w:val="both"/>
        <w:rPr>
          <w:b/>
          <w:i/>
        </w:rPr>
      </w:pPr>
      <w:r w:rsidRPr="00437199">
        <w:rPr>
          <w:b/>
          <w:i/>
        </w:rPr>
        <w:t xml:space="preserve">Political System </w:t>
      </w:r>
    </w:p>
    <w:p w:rsidR="001A6DD6" w:rsidRDefault="00BC4588" w:rsidP="00C943F8">
      <w:pPr>
        <w:jc w:val="both"/>
      </w:pPr>
      <w:r>
        <w:t>The Gambia is a republic where the President is t</w:t>
      </w:r>
      <w:r w:rsidR="00C943F8" w:rsidRPr="00C943F8">
        <w:t>he Head of State</w:t>
      </w:r>
      <w:r>
        <w:t xml:space="preserve"> and Government</w:t>
      </w:r>
      <w:r w:rsidR="00C943F8">
        <w:t xml:space="preserve">. </w:t>
      </w:r>
      <w:r w:rsidR="00C943F8" w:rsidRPr="00C943F8">
        <w:t>Legislative authority is vested in the National Assembly</w:t>
      </w:r>
      <w:r>
        <w:t xml:space="preserve">. </w:t>
      </w:r>
    </w:p>
    <w:p w:rsidR="00C943F8" w:rsidRPr="00C943F8" w:rsidRDefault="00C943F8" w:rsidP="00C943F8">
      <w:pPr>
        <w:jc w:val="both"/>
        <w:rPr>
          <w:i/>
        </w:rPr>
      </w:pPr>
      <w:r w:rsidRPr="00C943F8">
        <w:rPr>
          <w:u w:val="single"/>
        </w:rPr>
        <w:t>Ministry of Local Governments and Land</w:t>
      </w:r>
      <w:r>
        <w:rPr>
          <w:u w:val="single"/>
        </w:rPr>
        <w:t xml:space="preserve"> (MOLGL)</w:t>
      </w:r>
      <w:r w:rsidRPr="00C943F8">
        <w:rPr>
          <w:u w:val="single"/>
          <w:vertAlign w:val="superscript"/>
        </w:rPr>
        <w:footnoteReference w:id="2"/>
      </w:r>
    </w:p>
    <w:p w:rsidR="00C943F8" w:rsidRPr="00C943F8" w:rsidRDefault="00C943F8" w:rsidP="00C943F8">
      <w:pPr>
        <w:jc w:val="both"/>
      </w:pPr>
      <w:r w:rsidRPr="00C943F8">
        <w:t>The</w:t>
      </w:r>
      <w:r w:rsidRPr="001A67E7">
        <w:t xml:space="preserve"> </w:t>
      </w:r>
      <w:r w:rsidR="001A67E7" w:rsidRPr="002863BB">
        <w:t>Ministry of Local Governments and Land</w:t>
      </w:r>
      <w:r w:rsidR="001A67E7">
        <w:rPr>
          <w:u w:val="single"/>
        </w:rPr>
        <w:t xml:space="preserve"> </w:t>
      </w:r>
      <w:r w:rsidRPr="00C943F8">
        <w:t xml:space="preserve">is the main agency for local government planning and land development in </w:t>
      </w:r>
      <w:r w:rsidR="001A67E7">
        <w:t>T</w:t>
      </w:r>
      <w:r w:rsidRPr="00C943F8">
        <w:t>he Gambia. Property sales are approved at the physical planning department.</w:t>
      </w:r>
    </w:p>
    <w:p w:rsidR="00C943F8" w:rsidRPr="00C943F8" w:rsidRDefault="00C943F8" w:rsidP="00C943F8">
      <w:pPr>
        <w:jc w:val="both"/>
      </w:pPr>
      <w:r w:rsidRPr="00C943F8">
        <w:t>Mission Statement:</w:t>
      </w:r>
    </w:p>
    <w:p w:rsidR="00C943F8" w:rsidRPr="00C943F8" w:rsidRDefault="00C943F8" w:rsidP="00C943F8">
      <w:pPr>
        <w:numPr>
          <w:ilvl w:val="0"/>
          <w:numId w:val="17"/>
        </w:numPr>
        <w:jc w:val="both"/>
      </w:pPr>
      <w:r w:rsidRPr="00C943F8">
        <w:t xml:space="preserve">To achieve equitable and efficient distribution of state land resources for </w:t>
      </w:r>
      <w:r w:rsidR="001A67E7">
        <w:t xml:space="preserve">The </w:t>
      </w:r>
      <w:r w:rsidRPr="00C943F8">
        <w:t>Gambia</w:t>
      </w:r>
      <w:r w:rsidR="001A67E7">
        <w:t>;</w:t>
      </w:r>
    </w:p>
    <w:p w:rsidR="00C943F8" w:rsidRPr="00C943F8" w:rsidRDefault="00C943F8" w:rsidP="00C943F8">
      <w:pPr>
        <w:numPr>
          <w:ilvl w:val="0"/>
          <w:numId w:val="17"/>
        </w:numPr>
        <w:jc w:val="both"/>
      </w:pPr>
      <w:r w:rsidRPr="00C943F8">
        <w:t>To make sure that land use plans and maps accessible countrywide;</w:t>
      </w:r>
    </w:p>
    <w:p w:rsidR="00C943F8" w:rsidRPr="00C943F8" w:rsidRDefault="00C943F8" w:rsidP="00C943F8">
      <w:pPr>
        <w:numPr>
          <w:ilvl w:val="0"/>
          <w:numId w:val="17"/>
        </w:numPr>
        <w:jc w:val="both"/>
      </w:pPr>
      <w:r w:rsidRPr="00C943F8">
        <w:t>To ensure production of a development systems and control policy;</w:t>
      </w:r>
    </w:p>
    <w:p w:rsidR="00C943F8" w:rsidRPr="00C943F8" w:rsidRDefault="00C943F8" w:rsidP="00C943F8">
      <w:pPr>
        <w:numPr>
          <w:ilvl w:val="0"/>
          <w:numId w:val="17"/>
        </w:numPr>
        <w:jc w:val="both"/>
      </w:pPr>
      <w:r w:rsidRPr="00C943F8">
        <w:lastRenderedPageBreak/>
        <w:t>To ensure properly structured LGA administrative systems and effective local government;</w:t>
      </w:r>
    </w:p>
    <w:p w:rsidR="00C943F8" w:rsidRPr="00C943F8" w:rsidRDefault="00C943F8" w:rsidP="00C943F8">
      <w:pPr>
        <w:numPr>
          <w:ilvl w:val="0"/>
          <w:numId w:val="17"/>
        </w:numPr>
        <w:jc w:val="both"/>
      </w:pPr>
      <w:r w:rsidRPr="00C943F8">
        <w:t>To ensure access to development resources by the people to facilitate socioeconomic development for poverty reduction;</w:t>
      </w:r>
    </w:p>
    <w:p w:rsidR="00C943F8" w:rsidRPr="00C943F8" w:rsidRDefault="00C943F8" w:rsidP="00C943F8">
      <w:pPr>
        <w:numPr>
          <w:ilvl w:val="0"/>
          <w:numId w:val="17"/>
        </w:numPr>
        <w:jc w:val="both"/>
      </w:pPr>
      <w:r w:rsidRPr="00C943F8">
        <w:t>To improve the capacities of local organisations and other groups safeguard sustainable development.</w:t>
      </w:r>
    </w:p>
    <w:p w:rsidR="00C943F8" w:rsidRDefault="00C943F8" w:rsidP="00C943F8">
      <w:pPr>
        <w:jc w:val="both"/>
        <w:rPr>
          <w:u w:val="single"/>
        </w:rPr>
      </w:pPr>
      <w:r w:rsidRPr="00C943F8">
        <w:rPr>
          <w:u w:val="single"/>
        </w:rPr>
        <w:t xml:space="preserve">The Land Commission </w:t>
      </w:r>
    </w:p>
    <w:p w:rsidR="00C943F8" w:rsidRPr="00C943F8" w:rsidRDefault="001A67E7" w:rsidP="002863BB">
      <w:pPr>
        <w:jc w:val="both"/>
      </w:pPr>
      <w:r w:rsidRPr="00C943F8">
        <w:t>The Land Commission</w:t>
      </w:r>
      <w:r w:rsidRPr="001A6DD6">
        <w:t xml:space="preserve"> operates under the </w:t>
      </w:r>
      <w:r w:rsidRPr="002D45EC">
        <w:t>Ministry of Local Governments and Land</w:t>
      </w:r>
      <w:r>
        <w:t xml:space="preserve"> </w:t>
      </w:r>
      <w:r w:rsidRPr="00C943F8">
        <w:t>Department of Lands and Surveys</w:t>
      </w:r>
      <w:r>
        <w:t>.</w:t>
      </w:r>
    </w:p>
    <w:p w:rsidR="001A67E7" w:rsidRDefault="00C943F8" w:rsidP="00C943F8">
      <w:pPr>
        <w:jc w:val="both"/>
      </w:pPr>
      <w:r w:rsidRPr="00C943F8">
        <w:t xml:space="preserve">Land Commission Act (2007): </w:t>
      </w:r>
    </w:p>
    <w:p w:rsidR="00C943F8" w:rsidRPr="00C943F8" w:rsidRDefault="00C943F8" w:rsidP="00C943F8">
      <w:pPr>
        <w:jc w:val="both"/>
      </w:pPr>
      <w:r w:rsidRPr="00C943F8">
        <w:t>14. The Commission shall</w:t>
      </w:r>
    </w:p>
    <w:p w:rsidR="00C943F8" w:rsidRPr="00C943F8" w:rsidRDefault="00C943F8" w:rsidP="00C943F8">
      <w:pPr>
        <w:jc w:val="both"/>
      </w:pPr>
      <w:r w:rsidRPr="00C943F8">
        <w:t>a) Advise the Secretary of State on policy matters relating to land administration to ensure strict adherence to those policies and transparency in land allocations;</w:t>
      </w:r>
    </w:p>
    <w:p w:rsidR="00C943F8" w:rsidRPr="00C943F8" w:rsidRDefault="00C943F8" w:rsidP="00C943F8">
      <w:pPr>
        <w:jc w:val="both"/>
      </w:pPr>
      <w:r w:rsidRPr="00C943F8">
        <w:t>b) Investigate disputes on land ownership and occupation in any area in The Gambia;</w:t>
      </w:r>
    </w:p>
    <w:p w:rsidR="00C943F8" w:rsidRPr="00C943F8" w:rsidRDefault="00C943F8" w:rsidP="00C943F8">
      <w:pPr>
        <w:jc w:val="both"/>
      </w:pPr>
      <w:r w:rsidRPr="00C943F8">
        <w:t>c) Assess land rent and premium for properties within any area in The Gambia;</w:t>
      </w:r>
    </w:p>
    <w:p w:rsidR="00C943F8" w:rsidRPr="00C943F8" w:rsidRDefault="00C943F8" w:rsidP="00C943F8">
      <w:pPr>
        <w:jc w:val="both"/>
      </w:pPr>
      <w:r w:rsidRPr="00C943F8">
        <w:t>d) Monitor the registration of properties and inspect land registries and records;</w:t>
      </w:r>
    </w:p>
    <w:p w:rsidR="00C943F8" w:rsidRPr="00C943F8" w:rsidRDefault="00C943F8" w:rsidP="00C943F8">
      <w:pPr>
        <w:jc w:val="both"/>
      </w:pPr>
      <w:r w:rsidRPr="00C943F8">
        <w:t>e) Be responsible for all matters relating to national boundaries, including monitoring and reporting to the Secretary of State;</w:t>
      </w:r>
    </w:p>
    <w:p w:rsidR="001A6DD6" w:rsidRPr="00C943F8" w:rsidRDefault="001A6DD6" w:rsidP="001A6DD6">
      <w:pPr>
        <w:jc w:val="both"/>
        <w:rPr>
          <w:u w:val="single"/>
        </w:rPr>
      </w:pPr>
      <w:r w:rsidRPr="00C943F8">
        <w:rPr>
          <w:u w:val="single"/>
        </w:rPr>
        <w:t>National Development Strategy (Vision 2020)</w:t>
      </w:r>
      <w:r w:rsidRPr="001A6DD6">
        <w:rPr>
          <w:rStyle w:val="FootnoteReference"/>
        </w:rPr>
        <w:footnoteReference w:id="3"/>
      </w:r>
    </w:p>
    <w:p w:rsidR="001A6DD6" w:rsidRPr="00C943F8" w:rsidRDefault="001A6DD6" w:rsidP="001A6DD6">
      <w:pPr>
        <w:jc w:val="both"/>
        <w:rPr>
          <w:lang w:val="en-US"/>
        </w:rPr>
      </w:pPr>
      <w:r w:rsidRPr="00C943F8">
        <w:rPr>
          <w:bCs/>
          <w:lang w:val="en-US"/>
        </w:rPr>
        <w:t>Objective 6: HOUSING</w:t>
      </w:r>
    </w:p>
    <w:p w:rsidR="001B7B83" w:rsidRPr="00FB7E00" w:rsidRDefault="001A6DD6" w:rsidP="001A6DD6">
      <w:pPr>
        <w:jc w:val="both"/>
      </w:pPr>
      <w:r w:rsidRPr="00C943F8">
        <w:rPr>
          <w:lang w:val="en-US"/>
        </w:rPr>
        <w:t xml:space="preserve">Over the Vision period, </w:t>
      </w:r>
      <w:proofErr w:type="spellStart"/>
      <w:r w:rsidRPr="00C943F8">
        <w:rPr>
          <w:lang w:val="en-US"/>
        </w:rPr>
        <w:t>programmes</w:t>
      </w:r>
      <w:proofErr w:type="spellEnd"/>
      <w:r w:rsidRPr="00C943F8">
        <w:rPr>
          <w:lang w:val="en-US"/>
        </w:rPr>
        <w:t xml:space="preserve"> on housing and shelter-related development shall draw on the strategies recommended in the Habitat II initiative (1996) towards general improvement in housing conditions and environmental sanitation. In the context of a revised and updated National Housing Policy, the </w:t>
      </w:r>
      <w:proofErr w:type="spellStart"/>
      <w:r w:rsidRPr="00C943F8">
        <w:rPr>
          <w:lang w:val="en-US"/>
        </w:rPr>
        <w:t>programmes</w:t>
      </w:r>
      <w:proofErr w:type="spellEnd"/>
      <w:r w:rsidRPr="00C943F8">
        <w:rPr>
          <w:lang w:val="en-US"/>
        </w:rPr>
        <w:t xml:space="preserve"> shall also focus on the causes and consequences of expanding demography and rapid </w:t>
      </w:r>
      <w:proofErr w:type="spellStart"/>
      <w:r w:rsidRPr="00C943F8">
        <w:rPr>
          <w:lang w:val="en-US"/>
        </w:rPr>
        <w:t>urbanisation</w:t>
      </w:r>
      <w:proofErr w:type="spellEnd"/>
      <w:r w:rsidRPr="00C943F8">
        <w:rPr>
          <w:lang w:val="en-US"/>
        </w:rPr>
        <w:t>, increasing quality housing production and enabling more regular replication of public housing projects towards satisfying the current national housing deficit. In this regard, priority shall be given to easing access to land for housing, improving on and encouraging the use of local building materials, addressing the manpower and technical limitations of the construction industry.</w:t>
      </w:r>
      <w:r>
        <w:rPr>
          <w:lang w:val="en-US"/>
        </w:rPr>
        <w:t xml:space="preserve"> </w:t>
      </w:r>
      <w:r w:rsidRPr="00C943F8">
        <w:rPr>
          <w:lang w:val="en-US"/>
        </w:rPr>
        <w:t>The creation of housing banks, housing co-operatives and other institutions specializing in financing shelter-related development shall be encouraged.</w:t>
      </w:r>
      <w:r w:rsidRPr="00C943F8">
        <w:rPr>
          <w:b/>
          <w:bCs/>
          <w:lang w:val="en-US"/>
        </w:rPr>
        <w:t xml:space="preserve"> </w:t>
      </w:r>
    </w:p>
    <w:p w:rsidR="00860FA2" w:rsidRDefault="00860FA2" w:rsidP="002250DD">
      <w:pPr>
        <w:rPr>
          <w:b/>
          <w:sz w:val="28"/>
        </w:rPr>
      </w:pPr>
      <w:r>
        <w:rPr>
          <w:b/>
          <w:sz w:val="28"/>
        </w:rPr>
        <w:br w:type="page"/>
      </w:r>
    </w:p>
    <w:p w:rsidR="005F30DA" w:rsidRDefault="00FB7E00" w:rsidP="005F30DA">
      <w:pPr>
        <w:rPr>
          <w:b/>
          <w:sz w:val="28"/>
        </w:rPr>
      </w:pPr>
      <w:r w:rsidRPr="00FB7E00">
        <w:rPr>
          <w:b/>
          <w:sz w:val="28"/>
        </w:rPr>
        <w:lastRenderedPageBreak/>
        <w:t>International Conventions</w:t>
      </w:r>
      <w:r w:rsidR="00376665">
        <w:rPr>
          <w:rStyle w:val="FootnoteReference"/>
          <w:b/>
          <w:sz w:val="28"/>
        </w:rPr>
        <w:footnoteReference w:id="4"/>
      </w:r>
    </w:p>
    <w:p w:rsidR="005F30DA" w:rsidRPr="005F30DA" w:rsidRDefault="005F30DA" w:rsidP="005F30DA">
      <w:pPr>
        <w:jc w:val="both"/>
        <w:rPr>
          <w:b/>
          <w:sz w:val="28"/>
        </w:rPr>
      </w:pPr>
      <w:r w:rsidRPr="005F30DA">
        <w:rPr>
          <w:rFonts w:eastAsia="Times New Roman" w:cstheme="minorHAnsi"/>
          <w:color w:val="000000"/>
          <w:lang w:eastAsia="en-AU"/>
        </w:rPr>
        <w:t>The State has ratified</w:t>
      </w:r>
      <w:r w:rsidR="00B5279F">
        <w:rPr>
          <w:rFonts w:eastAsia="Times New Roman" w:cstheme="minorHAnsi"/>
          <w:color w:val="000000"/>
          <w:lang w:eastAsia="en-AU"/>
        </w:rPr>
        <w:t xml:space="preserve"> almost</w:t>
      </w:r>
      <w:r w:rsidRPr="005F30DA">
        <w:rPr>
          <w:rFonts w:eastAsia="Times New Roman" w:cstheme="minorHAnsi"/>
          <w:color w:val="000000"/>
          <w:lang w:eastAsia="en-AU"/>
        </w:rPr>
        <w:t xml:space="preserve"> all of the major</w:t>
      </w:r>
      <w:r w:rsidR="001A6DD6">
        <w:rPr>
          <w:rFonts w:eastAsia="Times New Roman" w:cstheme="minorHAnsi"/>
          <w:color w:val="000000"/>
          <w:lang w:eastAsia="en-AU"/>
        </w:rPr>
        <w:t xml:space="preserve"> international</w:t>
      </w:r>
      <w:r w:rsidRPr="005F30DA">
        <w:rPr>
          <w:rFonts w:eastAsia="Times New Roman" w:cstheme="minorHAnsi"/>
          <w:color w:val="000000"/>
          <w:lang w:eastAsia="en-AU"/>
        </w:rPr>
        <w:t xml:space="preserve"> human rights conventions, including the Covenant on Economic, Social and Cultural Rights, which </w:t>
      </w:r>
      <w:r w:rsidR="001A6DD6">
        <w:rPr>
          <w:rFonts w:eastAsia="Times New Roman" w:cstheme="minorHAnsi"/>
          <w:color w:val="000000"/>
          <w:lang w:eastAsia="en-AU"/>
        </w:rPr>
        <w:t>provides for</w:t>
      </w:r>
      <w:r w:rsidRPr="005F30DA">
        <w:rPr>
          <w:rFonts w:eastAsia="Times New Roman" w:cstheme="minorHAnsi"/>
          <w:color w:val="000000"/>
          <w:lang w:eastAsia="en-AU"/>
        </w:rPr>
        <w:t xml:space="preserve"> the </w:t>
      </w:r>
      <w:r w:rsidR="004C67A5">
        <w:rPr>
          <w:rFonts w:eastAsia="Times New Roman" w:cstheme="minorHAnsi"/>
          <w:color w:val="000000"/>
          <w:lang w:eastAsia="en-AU"/>
        </w:rPr>
        <w:t>right to adequate housing</w:t>
      </w:r>
      <w:r w:rsidR="001A6DD6">
        <w:rPr>
          <w:rFonts w:eastAsia="Times New Roman" w:cstheme="minorHAnsi"/>
          <w:color w:val="000000"/>
          <w:lang w:eastAsia="en-AU"/>
        </w:rPr>
        <w:t>,</w:t>
      </w:r>
      <w:r w:rsidRPr="005F30DA">
        <w:rPr>
          <w:rFonts w:eastAsia="Times New Roman" w:cstheme="minorHAnsi"/>
          <w:color w:val="000000"/>
          <w:lang w:eastAsia="en-AU"/>
        </w:rPr>
        <w:t xml:space="preserve"> as a component of the</w:t>
      </w:r>
      <w:r w:rsidR="004C67A5">
        <w:rPr>
          <w:rFonts w:eastAsia="Times New Roman" w:cstheme="minorHAnsi"/>
          <w:color w:val="000000"/>
          <w:lang w:eastAsia="en-AU"/>
        </w:rPr>
        <w:t xml:space="preserve"> right to </w:t>
      </w:r>
      <w:r w:rsidR="001A67E7">
        <w:rPr>
          <w:rFonts w:eastAsia="Times New Roman" w:cstheme="minorHAnsi"/>
          <w:color w:val="000000"/>
          <w:lang w:eastAsia="en-AU"/>
        </w:rPr>
        <w:t xml:space="preserve">an </w:t>
      </w:r>
      <w:r w:rsidR="004C67A5">
        <w:rPr>
          <w:rFonts w:eastAsia="Times New Roman" w:cstheme="minorHAnsi"/>
          <w:color w:val="000000"/>
          <w:lang w:eastAsia="en-AU"/>
        </w:rPr>
        <w:t>adequate</w:t>
      </w:r>
      <w:r w:rsidR="001A67E7">
        <w:rPr>
          <w:rFonts w:eastAsia="Times New Roman" w:cstheme="minorHAnsi"/>
          <w:color w:val="000000"/>
          <w:lang w:eastAsia="en-AU"/>
        </w:rPr>
        <w:t xml:space="preserve"> standard of living</w:t>
      </w:r>
      <w:r w:rsidR="004C67A5">
        <w:rPr>
          <w:rFonts w:eastAsia="Times New Roman" w:cstheme="minorHAnsi"/>
          <w:color w:val="000000"/>
          <w:lang w:eastAsia="en-AU"/>
        </w:rPr>
        <w:t>.</w:t>
      </w:r>
    </w:p>
    <w:tbl>
      <w:tblPr>
        <w:tblStyle w:val="LightShading"/>
        <w:tblW w:w="5000" w:type="pct"/>
        <w:tblLook w:val="04A0" w:firstRow="1" w:lastRow="0" w:firstColumn="1" w:lastColumn="0" w:noHBand="0" w:noVBand="1"/>
      </w:tblPr>
      <w:tblGrid>
        <w:gridCol w:w="3978"/>
        <w:gridCol w:w="1440"/>
        <w:gridCol w:w="1530"/>
        <w:gridCol w:w="2294"/>
      </w:tblGrid>
      <w:tr w:rsidR="0033417F" w:rsidRPr="00C93A1A" w:rsidTr="004C67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1C69D0" w:rsidP="002250DD">
            <w:pPr>
              <w:spacing w:line="276" w:lineRule="auto"/>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779" w:type="pct"/>
            <w:hideMark/>
          </w:tcPr>
          <w:p w:rsidR="0033417F" w:rsidRPr="00C93A1A" w:rsidRDefault="001C69D0"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828" w:type="pct"/>
            <w:hideMark/>
          </w:tcPr>
          <w:p w:rsidR="0033417F" w:rsidRPr="00C93A1A" w:rsidRDefault="001C69D0"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1C69D0" w:rsidP="002250D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779" w:type="pct"/>
            <w:hideMark/>
          </w:tcPr>
          <w:p w:rsidR="0033417F" w:rsidRPr="00C93A1A" w:rsidRDefault="0033417F"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828" w:type="pct"/>
            <w:hideMark/>
          </w:tcPr>
          <w:p w:rsidR="0033417F" w:rsidRPr="00C93A1A" w:rsidRDefault="00C943F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43F8">
              <w:rPr>
                <w:rFonts w:eastAsia="Times New Roman" w:cstheme="minorHAnsi"/>
              </w:rPr>
              <w:t>23 Oct 1985</w:t>
            </w:r>
          </w:p>
        </w:tc>
        <w:tc>
          <w:tcPr>
            <w:tcW w:w="1241" w:type="pct"/>
            <w:hideMark/>
          </w:tcPr>
          <w:p w:rsidR="0033417F" w:rsidRPr="00C93A1A" w:rsidRDefault="004C67A5"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r>
      <w:tr w:rsidR="0033417F"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International Covenant on Civil and Political Rights</w:t>
            </w:r>
          </w:p>
        </w:tc>
        <w:tc>
          <w:tcPr>
            <w:tcW w:w="779" w:type="pct"/>
            <w:hideMark/>
          </w:tcPr>
          <w:p w:rsidR="0033417F" w:rsidRPr="00C93A1A" w:rsidRDefault="0033417F"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828" w:type="pct"/>
            <w:hideMark/>
          </w:tcPr>
          <w:p w:rsidR="0033417F" w:rsidRPr="00C93A1A" w:rsidRDefault="00C943F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33417F" w:rsidRPr="00C93A1A" w:rsidRDefault="00C943F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43F8">
              <w:rPr>
                <w:rFonts w:eastAsia="Times New Roman" w:cstheme="minorHAnsi"/>
              </w:rPr>
              <w:t>22 Mar 1979 (a)</w:t>
            </w:r>
          </w:p>
        </w:tc>
      </w:tr>
      <w:tr w:rsidR="0033417F"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33417F" w:rsidRPr="00C93A1A" w:rsidRDefault="0033417F" w:rsidP="002250DD">
            <w:pPr>
              <w:spacing w:line="276" w:lineRule="auto"/>
              <w:rPr>
                <w:rFonts w:eastAsia="Times New Roman" w:cstheme="minorHAnsi"/>
                <w:b w:val="0"/>
              </w:rPr>
            </w:pPr>
            <w:r w:rsidRPr="00C93A1A">
              <w:rPr>
                <w:rFonts w:eastAsia="Times New Roman" w:cstheme="minorHAnsi"/>
                <w:b w:val="0"/>
              </w:rPr>
              <w:t>Convention on the Elimination of All Forms of Discrimination against Women</w:t>
            </w:r>
          </w:p>
        </w:tc>
        <w:tc>
          <w:tcPr>
            <w:tcW w:w="779" w:type="pct"/>
            <w:hideMark/>
          </w:tcPr>
          <w:p w:rsidR="0033417F" w:rsidRPr="00C93A1A" w:rsidRDefault="0033417F" w:rsidP="00414B7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828" w:type="pct"/>
            <w:hideMark/>
          </w:tcPr>
          <w:p w:rsidR="0033417F" w:rsidRPr="00414B78" w:rsidRDefault="00C943F8" w:rsidP="00C943F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43F8">
              <w:rPr>
                <w:rFonts w:eastAsia="Times New Roman" w:cstheme="minorHAnsi"/>
              </w:rPr>
              <w:t>29 Jul 1980</w:t>
            </w:r>
            <w:r w:rsidRPr="00C943F8">
              <w:rPr>
                <w:rFonts w:eastAsia="Times New Roman" w:cstheme="minorHAnsi"/>
              </w:rPr>
              <w:tab/>
            </w:r>
          </w:p>
        </w:tc>
        <w:tc>
          <w:tcPr>
            <w:tcW w:w="1241" w:type="pct"/>
            <w:hideMark/>
          </w:tcPr>
          <w:p w:rsidR="0033417F" w:rsidRPr="00414B78" w:rsidRDefault="00C943F8" w:rsidP="0060092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43F8">
              <w:rPr>
                <w:rFonts w:eastAsia="Times New Roman" w:cstheme="minorHAnsi"/>
              </w:rPr>
              <w:t>16 Apr 1993</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828" w:type="pct"/>
            <w:hideMark/>
          </w:tcPr>
          <w:p w:rsidR="00600921" w:rsidRDefault="00C943F8" w:rsidP="00600921">
            <w:pPr>
              <w:cnfStyle w:val="000000000000" w:firstRow="0" w:lastRow="0" w:firstColumn="0" w:lastColumn="0" w:oddVBand="0" w:evenVBand="0" w:oddHBand="0" w:evenHBand="0" w:firstRowFirstColumn="0" w:firstRowLastColumn="0" w:lastRowFirstColumn="0" w:lastRowLastColumn="0"/>
            </w:pPr>
            <w:r>
              <w:t xml:space="preserve"> </w:t>
            </w:r>
          </w:p>
        </w:tc>
        <w:tc>
          <w:tcPr>
            <w:tcW w:w="1241" w:type="pct"/>
            <w:hideMark/>
          </w:tcPr>
          <w:p w:rsidR="00600921" w:rsidRPr="00C93A1A" w:rsidRDefault="00C943F8" w:rsidP="0060092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43F8">
              <w:rPr>
                <w:rFonts w:eastAsia="Times New Roman" w:cstheme="minorHAnsi"/>
              </w:rPr>
              <w:t>29 Dec 1978 (a)</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Covenant on Economic, Social and Cultural Rights</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828" w:type="pct"/>
            <w:hideMark/>
          </w:tcPr>
          <w:p w:rsidR="00600921" w:rsidRPr="00C93A1A" w:rsidRDefault="00C943F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C943F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43F8">
              <w:rPr>
                <w:rFonts w:eastAsia="Times New Roman" w:cstheme="minorHAnsi"/>
              </w:rPr>
              <w:t>29 Dec 1978 (a)</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828" w:type="pct"/>
            <w:hideMark/>
          </w:tcPr>
          <w:p w:rsidR="00600921" w:rsidRPr="00C93A1A" w:rsidRDefault="00C943F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C943F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the Child</w:t>
            </w:r>
          </w:p>
        </w:tc>
        <w:tc>
          <w:tcPr>
            <w:tcW w:w="779" w:type="pct"/>
            <w:hideMark/>
          </w:tcPr>
          <w:p w:rsidR="00600921" w:rsidRPr="00C93A1A" w:rsidRDefault="00600921"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828" w:type="pct"/>
            <w:hideMark/>
          </w:tcPr>
          <w:p w:rsidR="00600921" w:rsidRPr="00C93A1A" w:rsidRDefault="00C943F8" w:rsidP="00C943F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C943F8">
              <w:rPr>
                <w:rFonts w:eastAsia="Times New Roman" w:cstheme="minorHAnsi"/>
              </w:rPr>
              <w:t>05 Feb 1990</w:t>
            </w:r>
            <w:r w:rsidRPr="00C943F8">
              <w:rPr>
                <w:rFonts w:eastAsia="Times New Roman" w:cstheme="minorHAnsi"/>
              </w:rPr>
              <w:tab/>
            </w:r>
          </w:p>
        </w:tc>
        <w:tc>
          <w:tcPr>
            <w:tcW w:w="1241" w:type="pct"/>
            <w:hideMark/>
          </w:tcPr>
          <w:p w:rsidR="00600921" w:rsidRPr="00C93A1A" w:rsidRDefault="00C943F8" w:rsidP="002250D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Pr="00C943F8">
              <w:rPr>
                <w:rFonts w:eastAsia="Times New Roman" w:cstheme="minorHAnsi"/>
              </w:rPr>
              <w:t>08 Aug 1990</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hideMark/>
          </w:tcPr>
          <w:p w:rsidR="00600921" w:rsidRPr="00C93A1A" w:rsidRDefault="00600921" w:rsidP="002250DD">
            <w:pPr>
              <w:spacing w:line="276" w:lineRule="auto"/>
              <w:rPr>
                <w:rFonts w:eastAsia="Times New Roman" w:cstheme="minorHAnsi"/>
                <w:b w:val="0"/>
              </w:rPr>
            </w:pPr>
            <w:r w:rsidRPr="00C93A1A">
              <w:rPr>
                <w:rFonts w:eastAsia="Times New Roman" w:cstheme="minorHAnsi"/>
                <w:b w:val="0"/>
              </w:rPr>
              <w:t>Convention on the Rights of Persons with Disabilities</w:t>
            </w:r>
          </w:p>
        </w:tc>
        <w:tc>
          <w:tcPr>
            <w:tcW w:w="779" w:type="pct"/>
            <w:hideMark/>
          </w:tcPr>
          <w:p w:rsidR="00600921" w:rsidRPr="00C93A1A" w:rsidRDefault="00600921"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828" w:type="pct"/>
            <w:hideMark/>
          </w:tcPr>
          <w:p w:rsidR="00600921" w:rsidRPr="00C93A1A" w:rsidRDefault="00C943F8" w:rsidP="002250D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p>
        </w:tc>
        <w:tc>
          <w:tcPr>
            <w:tcW w:w="1241" w:type="pct"/>
            <w:hideMark/>
          </w:tcPr>
          <w:p w:rsidR="00600921" w:rsidRPr="00C93A1A" w:rsidRDefault="00C943F8" w:rsidP="00915F0E">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DC50F5" w:rsidRPr="00DC50F5">
              <w:rPr>
                <w:rFonts w:eastAsia="Times New Roman" w:cstheme="minorHAnsi"/>
              </w:rPr>
              <w:t>07 Jun 2015 (a)</w:t>
            </w:r>
          </w:p>
        </w:tc>
      </w:tr>
      <w:tr w:rsidR="00600921" w:rsidRPr="00C93A1A" w:rsidTr="004C6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pct"/>
          </w:tcPr>
          <w:p w:rsidR="00600921" w:rsidRPr="00897E59" w:rsidRDefault="00600921" w:rsidP="002250DD">
            <w:pPr>
              <w:rPr>
                <w:rFonts w:eastAsia="Times New Roman" w:cstheme="minorHAnsi"/>
                <w:b w:val="0"/>
              </w:rPr>
            </w:pPr>
            <w:r>
              <w:rPr>
                <w:rFonts w:eastAsia="Times New Roman" w:cstheme="minorHAnsi"/>
                <w:b w:val="0"/>
              </w:rPr>
              <w:t xml:space="preserve">Convention </w:t>
            </w:r>
            <w:r w:rsidRPr="00897E59">
              <w:rPr>
                <w:rFonts w:eastAsia="Times New Roman" w:cstheme="minorHAnsi"/>
                <w:b w:val="0"/>
              </w:rPr>
              <w:t>Relating to the Status of Refugees</w:t>
            </w:r>
          </w:p>
        </w:tc>
        <w:tc>
          <w:tcPr>
            <w:tcW w:w="779"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Refugee Convention</w:t>
            </w:r>
          </w:p>
        </w:tc>
        <w:tc>
          <w:tcPr>
            <w:tcW w:w="828" w:type="pct"/>
          </w:tcPr>
          <w:p w:rsidR="00600921" w:rsidRPr="00C93A1A" w:rsidRDefault="00600921" w:rsidP="002250DD">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600921" w:rsidRPr="00C93A1A" w:rsidRDefault="00DC50F5" w:rsidP="00DC50F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w:t>
            </w:r>
            <w:r w:rsidRPr="00DC50F5">
              <w:rPr>
                <w:rFonts w:eastAsia="Times New Roman" w:cstheme="minorHAnsi"/>
              </w:rPr>
              <w:t xml:space="preserve">7 Sep 1966 </w:t>
            </w:r>
            <w:r>
              <w:rPr>
                <w:rFonts w:eastAsia="Times New Roman" w:cstheme="minorHAnsi"/>
              </w:rPr>
              <w:t>(</w:t>
            </w:r>
            <w:r w:rsidRPr="00DC50F5">
              <w:rPr>
                <w:rFonts w:eastAsia="Times New Roman" w:cstheme="minorHAnsi"/>
              </w:rPr>
              <w:t>d</w:t>
            </w:r>
            <w:r>
              <w:rPr>
                <w:rFonts w:eastAsia="Times New Roman" w:cstheme="minorHAnsi"/>
              </w:rPr>
              <w:t>)</w:t>
            </w:r>
          </w:p>
        </w:tc>
      </w:tr>
      <w:tr w:rsidR="00600921" w:rsidRPr="00C93A1A" w:rsidTr="004C67A5">
        <w:tc>
          <w:tcPr>
            <w:cnfStyle w:val="001000000000" w:firstRow="0" w:lastRow="0" w:firstColumn="1" w:lastColumn="0" w:oddVBand="0" w:evenVBand="0" w:oddHBand="0" w:evenHBand="0" w:firstRowFirstColumn="0" w:firstRowLastColumn="0" w:lastRowFirstColumn="0" w:lastRowLastColumn="0"/>
            <w:tcW w:w="2152" w:type="pct"/>
          </w:tcPr>
          <w:p w:rsidR="00600921" w:rsidRPr="00915F0E" w:rsidRDefault="00600921" w:rsidP="002250DD">
            <w:pPr>
              <w:rPr>
                <w:rFonts w:eastAsia="Times New Roman" w:cstheme="minorHAnsi"/>
                <w:b w:val="0"/>
              </w:rPr>
            </w:pPr>
            <w:r>
              <w:rPr>
                <w:rFonts w:eastAsia="Times New Roman" w:cstheme="minorHAnsi"/>
                <w:b w:val="0"/>
              </w:rPr>
              <w:t>Protocol</w:t>
            </w:r>
            <w:r w:rsidRPr="00915F0E">
              <w:rPr>
                <w:rFonts w:eastAsia="Times New Roman" w:cstheme="minorHAnsi"/>
                <w:b w:val="0"/>
              </w:rPr>
              <w:t xml:space="preserve"> Relating to the Status of Refugees</w:t>
            </w:r>
          </w:p>
        </w:tc>
        <w:tc>
          <w:tcPr>
            <w:tcW w:w="779" w:type="pct"/>
          </w:tcPr>
          <w:p w:rsidR="00600921"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Protocol Relating to the Status of refugees</w:t>
            </w:r>
          </w:p>
        </w:tc>
        <w:tc>
          <w:tcPr>
            <w:tcW w:w="828" w:type="pct"/>
          </w:tcPr>
          <w:p w:rsidR="00600921" w:rsidRPr="00C93A1A" w:rsidRDefault="00600921" w:rsidP="002250DD">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tcPr>
          <w:p w:rsidR="00600921" w:rsidRPr="00915F0E" w:rsidRDefault="00DC50F5" w:rsidP="00C943F8">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C50F5">
              <w:rPr>
                <w:rFonts w:eastAsia="Times New Roman" w:cstheme="minorHAnsi"/>
              </w:rPr>
              <w:t xml:space="preserve">29 Sep 1967 </w:t>
            </w:r>
            <w:r>
              <w:rPr>
                <w:rFonts w:eastAsia="Times New Roman" w:cstheme="minorHAnsi"/>
              </w:rPr>
              <w:t>(</w:t>
            </w:r>
            <w:r w:rsidRPr="00DC50F5">
              <w:rPr>
                <w:rFonts w:eastAsia="Times New Roman" w:cstheme="minorHAnsi"/>
              </w:rPr>
              <w:t>a</w:t>
            </w:r>
            <w:r>
              <w:rPr>
                <w:rFonts w:eastAsia="Times New Roman" w:cstheme="minorHAnsi"/>
              </w:rPr>
              <w:t>)</w:t>
            </w:r>
          </w:p>
        </w:tc>
      </w:tr>
    </w:tbl>
    <w:p w:rsidR="00376665" w:rsidRDefault="00BF207E" w:rsidP="002250DD">
      <w:r>
        <w:br/>
      </w:r>
      <w:r w:rsidR="00C943F8">
        <w:t xml:space="preserve"> The Gambia</w:t>
      </w:r>
      <w:r w:rsidR="004C67A5">
        <w:t xml:space="preserve"> </w:t>
      </w:r>
      <w:r w:rsidR="00376665">
        <w:t xml:space="preserve">has not </w:t>
      </w:r>
      <w:r w:rsidR="001A6DD6">
        <w:t>ratified</w:t>
      </w:r>
      <w:r w:rsidR="00376665">
        <w:t>:</w:t>
      </w:r>
    </w:p>
    <w:p w:rsidR="00600921" w:rsidRDefault="00DC50F5" w:rsidP="00C8361C">
      <w:pPr>
        <w:pStyle w:val="ListParagraph"/>
        <w:numPr>
          <w:ilvl w:val="0"/>
          <w:numId w:val="9"/>
        </w:numPr>
        <w:jc w:val="both"/>
      </w:pPr>
      <w:r w:rsidRPr="00DC50F5">
        <w:t xml:space="preserve">International Convention on the Protection of the Rights of All Migrant Workers and Members of Their Families </w:t>
      </w:r>
      <w:r>
        <w:t xml:space="preserve"> </w:t>
      </w:r>
      <w:r w:rsidR="00600921" w:rsidRPr="00600921">
        <w:t xml:space="preserve"> </w:t>
      </w:r>
    </w:p>
    <w:p w:rsidR="00C36F99" w:rsidRPr="00BF207E" w:rsidRDefault="00C36F99" w:rsidP="00600921">
      <w:pPr>
        <w:pStyle w:val="ListParagraph"/>
        <w:jc w:val="both"/>
      </w:pPr>
    </w:p>
    <w:p w:rsidR="00C36F99" w:rsidRDefault="00C36F99" w:rsidP="002250DD">
      <w:pPr>
        <w:rPr>
          <w:b/>
          <w:sz w:val="28"/>
        </w:rPr>
      </w:pPr>
    </w:p>
    <w:p w:rsidR="002E7D99" w:rsidRDefault="002E7D99" w:rsidP="002250DD">
      <w:pPr>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5F30DA" w:rsidRPr="005F30DA" w:rsidRDefault="005F30DA" w:rsidP="005F30DA">
      <w:pPr>
        <w:jc w:val="both"/>
        <w:rPr>
          <w:rFonts w:eastAsia="Times New Roman" w:cstheme="minorHAnsi"/>
          <w:b/>
          <w:color w:val="000000"/>
          <w:lang w:eastAsia="en-AU"/>
        </w:rPr>
      </w:pPr>
      <w:r w:rsidRPr="005F30DA">
        <w:rPr>
          <w:rFonts w:eastAsia="Times New Roman" w:cstheme="minorHAnsi"/>
          <w:color w:val="000000"/>
          <w:lang w:eastAsia="en-AU"/>
        </w:rPr>
        <w:t>UN review mechanisms have</w:t>
      </w:r>
      <w:r w:rsidR="001A67E7">
        <w:rPr>
          <w:rFonts w:eastAsia="Times New Roman" w:cstheme="minorHAnsi"/>
          <w:color w:val="000000"/>
          <w:lang w:eastAsia="en-AU"/>
        </w:rPr>
        <w:t xml:space="preserve"> expressed concerns over </w:t>
      </w:r>
      <w:r w:rsidR="001A67E7" w:rsidRPr="00855C17">
        <w:rPr>
          <w:rFonts w:cstheme="minorHAnsi"/>
          <w:bCs/>
        </w:rPr>
        <w:t>population movement to unplanned and unregulated settlements in urban areas, which lack adequate housing and where there is often no access to safe drinking water and adequate sanitation</w:t>
      </w:r>
      <w:r w:rsidR="001A67E7">
        <w:rPr>
          <w:rFonts w:cstheme="minorHAnsi"/>
          <w:bCs/>
        </w:rPr>
        <w:t xml:space="preserve">. Also, </w:t>
      </w:r>
      <w:r w:rsidR="001A6DD6">
        <w:rPr>
          <w:rFonts w:cstheme="minorHAnsi"/>
          <w:bCs/>
        </w:rPr>
        <w:t xml:space="preserve">the </w:t>
      </w:r>
      <w:r w:rsidR="001A67E7">
        <w:rPr>
          <w:rFonts w:cstheme="minorHAnsi"/>
          <w:bCs/>
        </w:rPr>
        <w:t>State of The Gambia has been recommended to</w:t>
      </w:r>
      <w:r w:rsidR="001A67E7" w:rsidRPr="00855C17">
        <w:rPr>
          <w:rFonts w:cstheme="minorHAnsi"/>
          <w:bCs/>
        </w:rPr>
        <w:t xml:space="preserve"> </w:t>
      </w:r>
      <w:r w:rsidR="001A67E7">
        <w:rPr>
          <w:rFonts w:cstheme="minorHAnsi"/>
          <w:bCs/>
        </w:rPr>
        <w:t>e</w:t>
      </w:r>
      <w:r w:rsidR="001A67E7" w:rsidRPr="00855C17">
        <w:rPr>
          <w:rFonts w:cstheme="minorHAnsi"/>
          <w:bCs/>
        </w:rPr>
        <w:t>nsure that no forced evictions or restrictions on access to adequate housing are imposed on the basis of sexual orientation</w:t>
      </w:r>
      <w:r w:rsidRPr="005F30DA">
        <w:rPr>
          <w:rFonts w:eastAsia="Times New Roman" w:cstheme="minorHAnsi"/>
          <w:color w:val="000000"/>
          <w:lang w:eastAsia="en-AU"/>
        </w:rPr>
        <w:t>.</w:t>
      </w:r>
    </w:p>
    <w:p w:rsidR="00437199" w:rsidRPr="00437199" w:rsidRDefault="00437199" w:rsidP="002250DD">
      <w:r w:rsidRPr="00437199">
        <w:rPr>
          <w:rFonts w:cstheme="minorHAnsi"/>
          <w:b/>
          <w:i/>
        </w:rPr>
        <w:t xml:space="preserve">Universal Periodic Review </w:t>
      </w:r>
      <w:r w:rsidR="00D86897">
        <w:rPr>
          <w:rFonts w:cstheme="minorHAnsi"/>
          <w:b/>
          <w:i/>
        </w:rPr>
        <w:t xml:space="preserve"> </w:t>
      </w:r>
      <w:r w:rsidRPr="00437199">
        <w:t xml:space="preserve"> </w:t>
      </w:r>
    </w:p>
    <w:p w:rsidR="000B5A30" w:rsidRPr="000B5A30" w:rsidRDefault="000B5A30" w:rsidP="00C8361C">
      <w:pPr>
        <w:jc w:val="both"/>
        <w:rPr>
          <w:rFonts w:cstheme="minorHAnsi"/>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855C17" w:rsidRPr="00855C17" w:rsidRDefault="00855C17" w:rsidP="00855C17">
      <w:pPr>
        <w:jc w:val="both"/>
        <w:rPr>
          <w:rFonts w:cstheme="minorHAnsi"/>
          <w:u w:val="single"/>
        </w:rPr>
      </w:pPr>
      <w:r w:rsidRPr="00855C17">
        <w:rPr>
          <w:rFonts w:cstheme="minorHAnsi"/>
          <w:u w:val="single"/>
        </w:rPr>
        <w:t>First UPR (2011</w:t>
      </w:r>
      <w:r>
        <w:rPr>
          <w:rFonts w:cstheme="minorHAnsi"/>
          <w:u w:val="single"/>
        </w:rPr>
        <w:t>)</w:t>
      </w:r>
      <w:r w:rsidRPr="00855C17">
        <w:rPr>
          <w:rFonts w:cstheme="minorHAnsi"/>
          <w:vertAlign w:val="superscript"/>
        </w:rPr>
        <w:footnoteReference w:id="5"/>
      </w:r>
      <w:r w:rsidRPr="00855C17">
        <w:rPr>
          <w:rFonts w:cstheme="minorHAnsi"/>
          <w:u w:val="single"/>
        </w:rPr>
        <w:t xml:space="preserve"> </w:t>
      </w:r>
    </w:p>
    <w:p w:rsidR="00DC50F5" w:rsidRPr="00855C17" w:rsidRDefault="00DC50F5" w:rsidP="00DC50F5">
      <w:pPr>
        <w:jc w:val="both"/>
        <w:rPr>
          <w:rFonts w:cstheme="minorHAnsi"/>
          <w:bCs/>
        </w:rPr>
      </w:pPr>
      <w:r w:rsidRPr="00855C17">
        <w:rPr>
          <w:rFonts w:cstheme="minorHAnsi"/>
          <w:bCs/>
        </w:rPr>
        <w:t>Gambia was first</w:t>
      </w:r>
      <w:r w:rsidR="00855C17" w:rsidRPr="00855C17">
        <w:rPr>
          <w:rFonts w:cstheme="minorHAnsi"/>
          <w:bCs/>
        </w:rPr>
        <w:t xml:space="preserve"> reviewed in March 2010.</w:t>
      </w:r>
      <w:r w:rsidR="00855C17">
        <w:rPr>
          <w:rFonts w:cstheme="minorHAnsi"/>
          <w:bCs/>
        </w:rPr>
        <w:t xml:space="preserve">  </w:t>
      </w:r>
    </w:p>
    <w:p w:rsidR="00DC50F5" w:rsidRPr="00855C17" w:rsidRDefault="00855C17" w:rsidP="00DC50F5">
      <w:pPr>
        <w:jc w:val="both"/>
        <w:rPr>
          <w:rFonts w:cstheme="minorHAnsi"/>
          <w:bCs/>
        </w:rPr>
      </w:pPr>
      <w:r>
        <w:rPr>
          <w:rFonts w:cstheme="minorHAnsi"/>
          <w:bCs/>
        </w:rPr>
        <w:t xml:space="preserve">‘Recommendation 5: </w:t>
      </w:r>
      <w:r w:rsidR="00DC50F5" w:rsidRPr="00855C17">
        <w:rPr>
          <w:rFonts w:cstheme="minorHAnsi"/>
          <w:bCs/>
        </w:rPr>
        <w:t xml:space="preserve"> Ensure that no forced evictions or restrictions on access to adequate housing are imposed on the basis of sexual orientation</w:t>
      </w:r>
      <w:r>
        <w:rPr>
          <w:rFonts w:cstheme="minorHAnsi"/>
          <w:bCs/>
        </w:rPr>
        <w:t>.’</w:t>
      </w:r>
    </w:p>
    <w:p w:rsidR="00DC50F5" w:rsidRPr="00855C17" w:rsidRDefault="00855C17" w:rsidP="00DC50F5">
      <w:pPr>
        <w:jc w:val="both"/>
        <w:rPr>
          <w:rFonts w:cstheme="minorHAnsi"/>
          <w:bCs/>
        </w:rPr>
      </w:pPr>
      <w:r>
        <w:rPr>
          <w:rFonts w:cstheme="minorHAnsi"/>
          <w:bCs/>
        </w:rPr>
        <w:t xml:space="preserve">‘Recommendation </w:t>
      </w:r>
      <w:r w:rsidR="00DC50F5" w:rsidRPr="00855C17">
        <w:rPr>
          <w:rFonts w:cstheme="minorHAnsi"/>
          <w:bCs/>
        </w:rPr>
        <w:t>6</w:t>
      </w:r>
      <w:r>
        <w:rPr>
          <w:rFonts w:cstheme="minorHAnsi"/>
          <w:bCs/>
        </w:rPr>
        <w:t>:</w:t>
      </w:r>
      <w:r w:rsidR="00DC50F5" w:rsidRPr="00855C17">
        <w:rPr>
          <w:rFonts w:cstheme="minorHAnsi"/>
          <w:bCs/>
        </w:rPr>
        <w:t xml:space="preserve"> Ensure non-discrimination in access to adequate housing, and prevent forced evictions, as well as the threat of forced evictions, on the basis of sexual orientation or gender identity</w:t>
      </w:r>
      <w:r>
        <w:rPr>
          <w:rFonts w:cstheme="minorHAnsi"/>
          <w:bCs/>
        </w:rPr>
        <w:t>.’</w:t>
      </w:r>
    </w:p>
    <w:p w:rsidR="00C4509D" w:rsidRDefault="00C4509D" w:rsidP="00C8361C">
      <w:pPr>
        <w:jc w:val="both"/>
        <w:rPr>
          <w:rFonts w:cstheme="minorHAnsi"/>
          <w:u w:val="single"/>
        </w:rPr>
      </w:pPr>
      <w:r w:rsidRPr="00C4509D">
        <w:rPr>
          <w:rFonts w:cstheme="minorHAnsi"/>
          <w:u w:val="single"/>
        </w:rPr>
        <w:t xml:space="preserve">Second UPR </w:t>
      </w:r>
      <w:r w:rsidR="00855C17">
        <w:rPr>
          <w:rFonts w:cstheme="minorHAnsi"/>
          <w:u w:val="single"/>
        </w:rPr>
        <w:t>(2014</w:t>
      </w:r>
      <w:r>
        <w:rPr>
          <w:rFonts w:cstheme="minorHAnsi"/>
          <w:u w:val="single"/>
        </w:rPr>
        <w:t>)</w:t>
      </w:r>
      <w:r>
        <w:rPr>
          <w:rStyle w:val="FootnoteReference"/>
          <w:rFonts w:cstheme="minorHAnsi"/>
          <w:u w:val="single"/>
        </w:rPr>
        <w:footnoteReference w:id="6"/>
      </w:r>
    </w:p>
    <w:p w:rsidR="00855C17" w:rsidRDefault="00855C17" w:rsidP="00600921">
      <w:pPr>
        <w:jc w:val="both"/>
        <w:rPr>
          <w:rFonts w:cstheme="minorHAnsi"/>
        </w:rPr>
      </w:pPr>
      <w:r w:rsidRPr="00855C17">
        <w:rPr>
          <w:rFonts w:cstheme="minorHAnsi"/>
          <w:bCs/>
        </w:rPr>
        <w:t xml:space="preserve">There were no recommendations made relating to the right to adequate housing.  </w:t>
      </w:r>
    </w:p>
    <w:p w:rsidR="00CE3053" w:rsidRPr="00855C17" w:rsidRDefault="00437199" w:rsidP="00600921">
      <w:pPr>
        <w:jc w:val="both"/>
        <w:rPr>
          <w:rFonts w:cstheme="minorHAnsi"/>
        </w:rPr>
      </w:pPr>
      <w:r w:rsidRPr="00437199">
        <w:rPr>
          <w:rFonts w:cstheme="minorHAnsi"/>
          <w:b/>
          <w:bCs/>
          <w:i/>
        </w:rPr>
        <w:t xml:space="preserve">Report of the United Nations High Commissioner for Human Rights </w:t>
      </w:r>
      <w:r w:rsidR="000966A2">
        <w:rPr>
          <w:rFonts w:cstheme="minorHAnsi"/>
          <w:b/>
          <w:bCs/>
          <w:i/>
        </w:rPr>
        <w:t>(201</w:t>
      </w:r>
      <w:r w:rsidR="00855C17">
        <w:rPr>
          <w:rFonts w:cstheme="minorHAnsi"/>
          <w:b/>
          <w:bCs/>
          <w:i/>
        </w:rPr>
        <w:t>4</w:t>
      </w:r>
      <w:r w:rsidR="000966A2">
        <w:rPr>
          <w:rFonts w:cstheme="minorHAnsi"/>
          <w:b/>
          <w:bCs/>
          <w:i/>
        </w:rPr>
        <w:t>)</w:t>
      </w:r>
      <w:r w:rsidR="000966A2">
        <w:rPr>
          <w:rStyle w:val="FootnoteReference"/>
          <w:rFonts w:cstheme="minorHAnsi"/>
          <w:b/>
          <w:bCs/>
          <w:i/>
        </w:rPr>
        <w:footnoteReference w:id="7"/>
      </w:r>
    </w:p>
    <w:p w:rsidR="00C8361C" w:rsidRDefault="00CE3053" w:rsidP="00C8361C">
      <w:pPr>
        <w:jc w:val="both"/>
        <w:rPr>
          <w:rFonts w:cstheme="minorHAnsi"/>
          <w:bCs/>
          <w:i/>
        </w:rPr>
      </w:pPr>
      <w:r>
        <w:rPr>
          <w:rFonts w:cstheme="minorHAnsi"/>
          <w:bCs/>
          <w:i/>
        </w:rPr>
        <w:t>The Report provides a comprehensive review of the Human Rights situation in a given country and is presented to the Human Rights Council.</w:t>
      </w:r>
      <w:r w:rsidR="00C8361C">
        <w:rPr>
          <w:rFonts w:cstheme="minorHAnsi"/>
          <w:bCs/>
          <w:i/>
        </w:rPr>
        <w:t xml:space="preserve"> </w:t>
      </w:r>
    </w:p>
    <w:p w:rsidR="000966A2" w:rsidRDefault="00855C17" w:rsidP="00C8361C">
      <w:pPr>
        <w:jc w:val="both"/>
        <w:rPr>
          <w:rFonts w:cstheme="minorHAnsi"/>
          <w:bCs/>
        </w:rPr>
      </w:pPr>
      <w:r>
        <w:rPr>
          <w:rFonts w:cstheme="minorHAnsi"/>
          <w:bCs/>
        </w:rPr>
        <w:t xml:space="preserve">The Report does not make any reference to the right to adequate housing. </w:t>
      </w:r>
    </w:p>
    <w:p w:rsidR="001A6DD6" w:rsidRDefault="001A6DD6" w:rsidP="00C8361C">
      <w:pPr>
        <w:jc w:val="both"/>
        <w:rPr>
          <w:rFonts w:cstheme="minorHAnsi"/>
          <w:bCs/>
        </w:rPr>
      </w:pPr>
    </w:p>
    <w:p w:rsidR="001A6DD6" w:rsidRDefault="001A6DD6" w:rsidP="00C8361C">
      <w:pPr>
        <w:jc w:val="both"/>
        <w:rPr>
          <w:rFonts w:cstheme="minorHAnsi"/>
          <w:bCs/>
        </w:rPr>
      </w:pPr>
    </w:p>
    <w:p w:rsidR="00855C17" w:rsidRPr="00855C17" w:rsidRDefault="00855C17" w:rsidP="00855C17">
      <w:pPr>
        <w:jc w:val="both"/>
        <w:rPr>
          <w:rFonts w:cstheme="minorHAnsi"/>
          <w:b/>
          <w:bCs/>
          <w:i/>
        </w:rPr>
      </w:pPr>
      <w:r w:rsidRPr="00855C17">
        <w:rPr>
          <w:rFonts w:cstheme="minorHAnsi"/>
          <w:b/>
          <w:bCs/>
          <w:i/>
        </w:rPr>
        <w:lastRenderedPageBreak/>
        <w:t>Committee on Economic, Social and Cultural Rights (2014)</w:t>
      </w:r>
      <w:r w:rsidRPr="00855C17">
        <w:rPr>
          <w:rFonts w:cstheme="minorHAnsi"/>
          <w:b/>
          <w:bCs/>
          <w:i/>
          <w:vertAlign w:val="superscript"/>
        </w:rPr>
        <w:footnoteReference w:id="8"/>
      </w:r>
    </w:p>
    <w:p w:rsidR="00855C17" w:rsidRPr="00855C17" w:rsidRDefault="00855C17" w:rsidP="00855C17">
      <w:pPr>
        <w:jc w:val="both"/>
        <w:rPr>
          <w:rFonts w:cstheme="minorHAnsi"/>
          <w:bCs/>
          <w:i/>
        </w:rPr>
      </w:pPr>
      <w:r w:rsidRPr="00855C17">
        <w:rPr>
          <w:rFonts w:cstheme="minorHAnsi"/>
          <w:bCs/>
          <w:i/>
        </w:rPr>
        <w:t xml:space="preserve">The Committee specifically reviews states that have ratified the ICESCR on their compliance with the rights enshrined in it, including the </w:t>
      </w:r>
      <w:r w:rsidR="001A67E7">
        <w:rPr>
          <w:rFonts w:cstheme="minorHAnsi"/>
          <w:bCs/>
          <w:i/>
        </w:rPr>
        <w:t>r</w:t>
      </w:r>
      <w:r w:rsidRPr="00855C17">
        <w:rPr>
          <w:rFonts w:cstheme="minorHAnsi"/>
          <w:bCs/>
          <w:i/>
        </w:rPr>
        <w:t>ight to</w:t>
      </w:r>
      <w:r w:rsidR="001A67E7">
        <w:rPr>
          <w:rFonts w:cstheme="minorHAnsi"/>
          <w:bCs/>
          <w:i/>
        </w:rPr>
        <w:t xml:space="preserve"> a</w:t>
      </w:r>
      <w:r w:rsidRPr="00855C17">
        <w:rPr>
          <w:rFonts w:cstheme="minorHAnsi"/>
          <w:bCs/>
          <w:i/>
        </w:rPr>
        <w:t xml:space="preserve">dequate </w:t>
      </w:r>
      <w:r w:rsidR="001A67E7">
        <w:rPr>
          <w:rFonts w:cstheme="minorHAnsi"/>
          <w:bCs/>
          <w:i/>
        </w:rPr>
        <w:t>h</w:t>
      </w:r>
      <w:r w:rsidR="001A6DD6">
        <w:rPr>
          <w:rFonts w:cstheme="minorHAnsi"/>
          <w:bCs/>
          <w:i/>
        </w:rPr>
        <w:t>ousing.</w:t>
      </w:r>
    </w:p>
    <w:p w:rsidR="00855C17" w:rsidRPr="00855C17" w:rsidRDefault="00855C17" w:rsidP="00855C17">
      <w:pPr>
        <w:jc w:val="both"/>
        <w:rPr>
          <w:rFonts w:cstheme="minorHAnsi"/>
          <w:bCs/>
        </w:rPr>
      </w:pPr>
      <w:r w:rsidRPr="00855C17">
        <w:rPr>
          <w:rFonts w:cstheme="minorHAnsi"/>
          <w:bCs/>
        </w:rPr>
        <w:t xml:space="preserve">The Committee </w:t>
      </w:r>
      <w:r w:rsidR="001A67E7">
        <w:rPr>
          <w:rFonts w:cstheme="minorHAnsi"/>
          <w:bCs/>
        </w:rPr>
        <w:t>r</w:t>
      </w:r>
      <w:r w:rsidRPr="00855C17">
        <w:rPr>
          <w:rFonts w:cstheme="minorHAnsi"/>
          <w:bCs/>
        </w:rPr>
        <w:t xml:space="preserve">eviewed Gambia in </w:t>
      </w:r>
      <w:r w:rsidR="001A67E7">
        <w:rPr>
          <w:rFonts w:cstheme="minorHAnsi"/>
          <w:bCs/>
        </w:rPr>
        <w:t xml:space="preserve">2014 </w:t>
      </w:r>
      <w:r>
        <w:rPr>
          <w:rFonts w:cstheme="minorHAnsi"/>
          <w:bCs/>
        </w:rPr>
        <w:t>and</w:t>
      </w:r>
      <w:r w:rsidRPr="00855C17">
        <w:rPr>
          <w:rFonts w:cstheme="minorHAnsi"/>
          <w:bCs/>
        </w:rPr>
        <w:t xml:space="preserve"> made the following recommendations:</w:t>
      </w:r>
    </w:p>
    <w:p w:rsidR="00855C17" w:rsidRPr="00855C17" w:rsidRDefault="00855C17" w:rsidP="00855C17">
      <w:pPr>
        <w:jc w:val="both"/>
        <w:rPr>
          <w:rFonts w:cstheme="minorHAnsi"/>
          <w:bCs/>
        </w:rPr>
      </w:pPr>
      <w:r w:rsidRPr="00855C17">
        <w:rPr>
          <w:rFonts w:cstheme="minorHAnsi"/>
          <w:bCs/>
        </w:rPr>
        <w:t>24. The Committee regrets the inadequate information provided in the State party’s report on the situation of housing, as well as on the existence of social housing. In this respect, the Committee expresses its concern about the lack of clarity on the legal status and mandate of the Social Security and Housing Finance Corporation. The Committee is also concerned about the:</w:t>
      </w:r>
    </w:p>
    <w:p w:rsidR="00855C17" w:rsidRPr="00855C17" w:rsidRDefault="00855C17" w:rsidP="00855C17">
      <w:pPr>
        <w:jc w:val="both"/>
        <w:rPr>
          <w:rFonts w:cstheme="minorHAnsi"/>
          <w:bCs/>
        </w:rPr>
      </w:pPr>
      <w:r w:rsidRPr="00855C17">
        <w:rPr>
          <w:rFonts w:cstheme="minorHAnsi"/>
          <w:bCs/>
        </w:rPr>
        <w:t>(a) Impact of the increasing changes in rainfall patterns on the livelihood and property of the population, particularly in the northern parts of the country and in urban slums;</w:t>
      </w:r>
    </w:p>
    <w:p w:rsidR="00855C17" w:rsidRPr="00855C17" w:rsidRDefault="00855C17" w:rsidP="00855C17">
      <w:pPr>
        <w:jc w:val="both"/>
        <w:rPr>
          <w:rFonts w:cstheme="minorHAnsi"/>
          <w:bCs/>
        </w:rPr>
      </w:pPr>
      <w:r w:rsidRPr="00855C17">
        <w:rPr>
          <w:rFonts w:cstheme="minorHAnsi"/>
          <w:bCs/>
        </w:rPr>
        <w:t>(b) Reported population movement to unplanned and unregulated settlements in urban areas, which lack adequate housing and where there is often no access to safe drinking water and adequate sanitation (art. 11).</w:t>
      </w:r>
    </w:p>
    <w:p w:rsidR="00855C17" w:rsidRPr="00855C17" w:rsidRDefault="00855C17" w:rsidP="00855C17">
      <w:pPr>
        <w:jc w:val="both"/>
        <w:rPr>
          <w:rFonts w:cstheme="minorHAnsi"/>
          <w:bCs/>
        </w:rPr>
      </w:pPr>
      <w:r w:rsidRPr="00855C17">
        <w:rPr>
          <w:rFonts w:cstheme="minorHAnsi"/>
          <w:bCs/>
        </w:rPr>
        <w:t>25. While appreciating the progress achieved in improving access to safe drinking water and sanitation, the Committee is concerned that access by the population in rural areas to safe drinking water and sanitation remains inadequate (art. 11).</w:t>
      </w:r>
    </w:p>
    <w:p w:rsidR="00855C17" w:rsidRPr="00895B84" w:rsidRDefault="00855C17" w:rsidP="00855C17">
      <w:pPr>
        <w:jc w:val="both"/>
        <w:rPr>
          <w:rFonts w:cstheme="minorHAnsi"/>
          <w:b/>
          <w:bCs/>
          <w:i/>
        </w:rPr>
      </w:pPr>
      <w:r w:rsidRPr="00895B84">
        <w:rPr>
          <w:rFonts w:cstheme="minorHAnsi"/>
          <w:b/>
          <w:bCs/>
          <w:i/>
        </w:rPr>
        <w:t>United Nations Country Team (UNCT)</w:t>
      </w:r>
      <w:r w:rsidRPr="00895B84">
        <w:rPr>
          <w:rFonts w:cstheme="minorHAnsi"/>
          <w:b/>
          <w:bCs/>
          <w:i/>
          <w:vertAlign w:val="superscript"/>
        </w:rPr>
        <w:footnoteReference w:id="9"/>
      </w:r>
    </w:p>
    <w:p w:rsidR="00855C17" w:rsidRPr="00855C17" w:rsidRDefault="00855C17" w:rsidP="00855C17">
      <w:pPr>
        <w:jc w:val="both"/>
        <w:rPr>
          <w:rFonts w:cstheme="minorHAnsi"/>
          <w:bCs/>
          <w:i/>
        </w:rPr>
      </w:pPr>
      <w:r w:rsidRPr="00855C17">
        <w:rPr>
          <w:rFonts w:cstheme="minorHAnsi"/>
          <w:bCs/>
          <w:i/>
        </w:rPr>
        <w:t xml:space="preserve">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 </w:t>
      </w:r>
    </w:p>
    <w:p w:rsidR="00855C17" w:rsidRPr="00855C17" w:rsidRDefault="00855C17" w:rsidP="00855C17">
      <w:pPr>
        <w:jc w:val="both"/>
        <w:rPr>
          <w:rFonts w:cstheme="minorHAnsi"/>
          <w:bCs/>
        </w:rPr>
      </w:pPr>
      <w:r w:rsidRPr="00855C17">
        <w:rPr>
          <w:rFonts w:cstheme="minorHAnsi"/>
          <w:bCs/>
        </w:rPr>
        <w:t>The Gambia Country Team does no specific work on housing.</w:t>
      </w:r>
    </w:p>
    <w:p w:rsidR="00895B84" w:rsidRPr="00895B84" w:rsidRDefault="00895B84" w:rsidP="00895B84">
      <w:pPr>
        <w:jc w:val="both"/>
        <w:rPr>
          <w:rFonts w:cstheme="minorHAnsi"/>
          <w:b/>
          <w:bCs/>
          <w:i/>
        </w:rPr>
      </w:pPr>
      <w:r w:rsidRPr="00895B84">
        <w:rPr>
          <w:rFonts w:cstheme="minorHAnsi"/>
          <w:b/>
          <w:bCs/>
          <w:i/>
        </w:rPr>
        <w:t>United Nations Development Assistance Framework (UNDAF</w:t>
      </w:r>
      <w:proofErr w:type="gramStart"/>
      <w:r w:rsidRPr="00895B84">
        <w:rPr>
          <w:rFonts w:cstheme="minorHAnsi"/>
          <w:b/>
          <w:bCs/>
          <w:i/>
        </w:rPr>
        <w:t>)(</w:t>
      </w:r>
      <w:proofErr w:type="gramEnd"/>
      <w:r w:rsidRPr="00895B84">
        <w:rPr>
          <w:rFonts w:cstheme="minorHAnsi"/>
          <w:b/>
          <w:bCs/>
          <w:i/>
        </w:rPr>
        <w:t>2012-2016)</w:t>
      </w:r>
      <w:r w:rsidRPr="00895B84">
        <w:rPr>
          <w:rFonts w:cstheme="minorHAnsi"/>
          <w:b/>
          <w:bCs/>
          <w:i/>
          <w:vertAlign w:val="superscript"/>
        </w:rPr>
        <w:footnoteReference w:id="10"/>
      </w:r>
    </w:p>
    <w:p w:rsidR="00895B84" w:rsidRPr="00895B84" w:rsidRDefault="00895B84" w:rsidP="00895B84">
      <w:pPr>
        <w:jc w:val="both"/>
        <w:rPr>
          <w:rFonts w:cstheme="minorHAnsi"/>
          <w:bCs/>
          <w:i/>
        </w:rPr>
      </w:pPr>
      <w:r w:rsidRPr="00895B84">
        <w:rPr>
          <w:rFonts w:cstheme="minorHAnsi"/>
          <w:bCs/>
          <w:i/>
        </w:rPr>
        <w:t xml:space="preserve">The UNDAF is the strategic programme framework that describes the collective response of the UN system to national development priorities. The UNDAF forms the overall framework for the UNCT’s work in the Gambia </w:t>
      </w:r>
      <w:proofErr w:type="gramStart"/>
      <w:r w:rsidRPr="00895B84">
        <w:rPr>
          <w:rFonts w:cstheme="minorHAnsi"/>
          <w:bCs/>
          <w:i/>
        </w:rPr>
        <w:t>between 2012-2016</w:t>
      </w:r>
      <w:proofErr w:type="gramEnd"/>
      <w:r w:rsidRPr="00895B84">
        <w:rPr>
          <w:rFonts w:cstheme="minorHAnsi"/>
          <w:bCs/>
          <w:i/>
        </w:rPr>
        <w:t xml:space="preserve">. This section should include any specific recommendations made in regards to housing. </w:t>
      </w:r>
    </w:p>
    <w:p w:rsidR="00895B84" w:rsidRDefault="00895B84" w:rsidP="00777A56">
      <w:pPr>
        <w:jc w:val="both"/>
        <w:rPr>
          <w:rFonts w:cstheme="minorHAnsi"/>
          <w:bCs/>
        </w:rPr>
      </w:pPr>
      <w:r w:rsidRPr="00895B84">
        <w:rPr>
          <w:rFonts w:cstheme="minorHAnsi"/>
          <w:bCs/>
        </w:rPr>
        <w:t xml:space="preserve">The Gambia UNDAF contains no references to </w:t>
      </w:r>
      <w:r>
        <w:rPr>
          <w:rFonts w:cstheme="minorHAnsi"/>
          <w:bCs/>
        </w:rPr>
        <w:t xml:space="preserve">the right to adequate </w:t>
      </w:r>
      <w:r w:rsidRPr="00895B84">
        <w:rPr>
          <w:rFonts w:cstheme="minorHAnsi"/>
          <w:bCs/>
        </w:rPr>
        <w:t>housing</w:t>
      </w:r>
      <w:r>
        <w:rPr>
          <w:rFonts w:cstheme="minorHAnsi"/>
          <w:bCs/>
        </w:rPr>
        <w:t>.</w:t>
      </w:r>
      <w:r w:rsidRPr="00895B84">
        <w:rPr>
          <w:rFonts w:cstheme="minorHAnsi"/>
          <w:bCs/>
        </w:rPr>
        <w:t xml:space="preserve"> </w:t>
      </w:r>
    </w:p>
    <w:p w:rsidR="00895B84" w:rsidRDefault="00895B84" w:rsidP="00777A56">
      <w:pPr>
        <w:jc w:val="both"/>
        <w:rPr>
          <w:rFonts w:cstheme="minorHAnsi"/>
          <w:bCs/>
        </w:rPr>
      </w:pPr>
    </w:p>
    <w:p w:rsidR="001158E4" w:rsidRPr="00895B84" w:rsidRDefault="001158E4" w:rsidP="00777A56">
      <w:pPr>
        <w:jc w:val="both"/>
        <w:rPr>
          <w:rFonts w:cstheme="minorHAnsi"/>
          <w:bCs/>
        </w:rPr>
      </w:pPr>
      <w:r w:rsidRPr="001B7B83">
        <w:rPr>
          <w:b/>
          <w:sz w:val="28"/>
        </w:rPr>
        <w:lastRenderedPageBreak/>
        <w:t>UN-Habitat</w:t>
      </w:r>
      <w:r w:rsidR="00777A56">
        <w:rPr>
          <w:rStyle w:val="FootnoteReference"/>
          <w:b/>
          <w:sz w:val="28"/>
        </w:rPr>
        <w:footnoteReference w:id="11"/>
      </w:r>
    </w:p>
    <w:p w:rsidR="00895B84" w:rsidRPr="00895B84" w:rsidRDefault="00895B84" w:rsidP="00895B84">
      <w:pPr>
        <w:jc w:val="both"/>
        <w:rPr>
          <w:rFonts w:cstheme="minorHAnsi"/>
          <w:bCs/>
          <w:color w:val="000000"/>
        </w:rPr>
      </w:pPr>
      <w:r w:rsidRPr="00895B84">
        <w:rPr>
          <w:rFonts w:cstheme="minorHAnsi"/>
          <w:bCs/>
          <w:color w:val="000000"/>
        </w:rPr>
        <w:t>UN-Habitat projects in the Gambia include:</w:t>
      </w:r>
    </w:p>
    <w:p w:rsidR="00895B84" w:rsidRPr="00895B84" w:rsidRDefault="00895B84" w:rsidP="00895B84">
      <w:pPr>
        <w:jc w:val="both"/>
        <w:rPr>
          <w:rFonts w:cstheme="minorHAnsi"/>
          <w:bCs/>
          <w:color w:val="000000"/>
          <w:u w:val="single"/>
        </w:rPr>
      </w:pPr>
      <w:r w:rsidRPr="00895B84">
        <w:rPr>
          <w:rFonts w:cstheme="minorHAnsi"/>
          <w:bCs/>
          <w:color w:val="000000"/>
          <w:u w:val="single"/>
        </w:rPr>
        <w:t>Participatory Slum Upgrading Programme (2011-2015)</w:t>
      </w:r>
      <w:r w:rsidRPr="00895B84">
        <w:rPr>
          <w:rFonts w:cstheme="minorHAnsi"/>
          <w:bCs/>
          <w:color w:val="000000"/>
          <w:u w:val="single"/>
          <w:vertAlign w:val="superscript"/>
        </w:rPr>
        <w:footnoteReference w:id="12"/>
      </w:r>
    </w:p>
    <w:p w:rsidR="00895B84" w:rsidRPr="00895B84" w:rsidRDefault="00895B84" w:rsidP="00895B84">
      <w:pPr>
        <w:jc w:val="both"/>
        <w:rPr>
          <w:rFonts w:cstheme="minorHAnsi"/>
          <w:bCs/>
          <w:color w:val="000000"/>
        </w:rPr>
      </w:pPr>
      <w:r w:rsidRPr="00895B84">
        <w:rPr>
          <w:rFonts w:cstheme="minorHAnsi"/>
          <w:bCs/>
          <w:color w:val="000000"/>
        </w:rPr>
        <w:t xml:space="preserve">The </w:t>
      </w:r>
      <w:r w:rsidR="001A67E7">
        <w:rPr>
          <w:rFonts w:cstheme="minorHAnsi"/>
          <w:bCs/>
          <w:color w:val="000000"/>
        </w:rPr>
        <w:t>Participatory S</w:t>
      </w:r>
      <w:r w:rsidRPr="00895B84">
        <w:rPr>
          <w:rFonts w:cstheme="minorHAnsi"/>
          <w:bCs/>
          <w:color w:val="000000"/>
        </w:rPr>
        <w:t xml:space="preserve">lum </w:t>
      </w:r>
      <w:r w:rsidR="001A67E7">
        <w:rPr>
          <w:rFonts w:cstheme="minorHAnsi"/>
          <w:bCs/>
          <w:color w:val="000000"/>
        </w:rPr>
        <w:t>U</w:t>
      </w:r>
      <w:r w:rsidRPr="00895B84">
        <w:rPr>
          <w:rFonts w:cstheme="minorHAnsi"/>
          <w:bCs/>
          <w:color w:val="000000"/>
        </w:rPr>
        <w:t xml:space="preserve">pgrading </w:t>
      </w:r>
      <w:r w:rsidR="001A67E7">
        <w:rPr>
          <w:rFonts w:cstheme="minorHAnsi"/>
          <w:bCs/>
          <w:color w:val="000000"/>
        </w:rPr>
        <w:t>P</w:t>
      </w:r>
      <w:r w:rsidRPr="00895B84">
        <w:rPr>
          <w:rFonts w:cstheme="minorHAnsi"/>
          <w:bCs/>
          <w:color w:val="000000"/>
        </w:rPr>
        <w:t>rogramme is at its second implementation phase</w:t>
      </w:r>
      <w:r w:rsidR="001A67E7">
        <w:rPr>
          <w:rFonts w:cstheme="minorHAnsi"/>
          <w:bCs/>
          <w:color w:val="000000"/>
        </w:rPr>
        <w:t xml:space="preserve"> in T</w:t>
      </w:r>
      <w:r w:rsidR="001A67E7" w:rsidRPr="00895B84">
        <w:rPr>
          <w:rFonts w:cstheme="minorHAnsi"/>
          <w:bCs/>
          <w:color w:val="000000"/>
        </w:rPr>
        <w:t>he Gambia</w:t>
      </w:r>
      <w:r w:rsidRPr="00895B84">
        <w:rPr>
          <w:rFonts w:cstheme="minorHAnsi"/>
          <w:bCs/>
          <w:color w:val="000000"/>
        </w:rPr>
        <w:t xml:space="preserve">. The purpose of the programme is to focus on the development and adoption of inclusive policies and strategies for slum upgrading. The Programme also aims at strengthening community, city and national stakeholders’ capacity. UN-Habitat has mainly focussed on selected cities like Banjul, </w:t>
      </w:r>
      <w:proofErr w:type="spellStart"/>
      <w:r w:rsidRPr="00895B84">
        <w:rPr>
          <w:rFonts w:cstheme="minorHAnsi"/>
          <w:bCs/>
          <w:color w:val="000000"/>
        </w:rPr>
        <w:t>Brikama</w:t>
      </w:r>
      <w:proofErr w:type="spellEnd"/>
      <w:r w:rsidRPr="00895B84">
        <w:rPr>
          <w:rFonts w:cstheme="minorHAnsi"/>
          <w:bCs/>
          <w:color w:val="000000"/>
        </w:rPr>
        <w:t xml:space="preserve"> and </w:t>
      </w:r>
      <w:proofErr w:type="spellStart"/>
      <w:r w:rsidRPr="00895B84">
        <w:rPr>
          <w:rFonts w:cstheme="minorHAnsi"/>
          <w:bCs/>
          <w:color w:val="000000"/>
        </w:rPr>
        <w:t>Kanifing</w:t>
      </w:r>
      <w:proofErr w:type="spellEnd"/>
      <w:r w:rsidRPr="00895B84">
        <w:rPr>
          <w:rFonts w:cstheme="minorHAnsi"/>
          <w:bCs/>
          <w:color w:val="000000"/>
        </w:rPr>
        <w:t>.</w:t>
      </w:r>
    </w:p>
    <w:p w:rsidR="001C0294" w:rsidRPr="001C0294" w:rsidRDefault="00895B84" w:rsidP="001C0294">
      <w:pPr>
        <w:jc w:val="both"/>
        <w:rPr>
          <w:rFonts w:cstheme="minorHAnsi"/>
          <w:bCs/>
          <w:color w:val="000000"/>
          <w:lang w:val="en-US"/>
        </w:rPr>
      </w:pPr>
      <w:r>
        <w:rPr>
          <w:rFonts w:cstheme="minorHAnsi"/>
          <w:bCs/>
          <w:color w:val="000000"/>
        </w:rPr>
        <w:t xml:space="preserve"> </w:t>
      </w:r>
    </w:p>
    <w:p w:rsidR="001C0294" w:rsidRDefault="001C0294" w:rsidP="00777A56">
      <w:pPr>
        <w:jc w:val="both"/>
        <w:rPr>
          <w:rFonts w:cstheme="minorHAnsi"/>
          <w:bCs/>
          <w:color w:val="000000"/>
        </w:rPr>
      </w:pPr>
    </w:p>
    <w:p w:rsidR="002B3749" w:rsidRPr="00777A56" w:rsidRDefault="001C0294" w:rsidP="002B3749">
      <w:pPr>
        <w:jc w:val="both"/>
        <w:rPr>
          <w:rFonts w:cstheme="minorHAnsi"/>
          <w:bCs/>
          <w:color w:val="000000"/>
          <w:lang w:val="en-US"/>
        </w:rPr>
      </w:pPr>
      <w:r>
        <w:rPr>
          <w:rFonts w:cstheme="minorHAnsi"/>
          <w:bCs/>
          <w:color w:val="000000"/>
        </w:rPr>
        <w:t xml:space="preserve"> </w:t>
      </w:r>
    </w:p>
    <w:p w:rsidR="00F035CF" w:rsidRDefault="001C0294" w:rsidP="00777A56">
      <w:pPr>
        <w:tabs>
          <w:tab w:val="num" w:pos="720"/>
        </w:tabs>
        <w:jc w:val="both"/>
        <w:rPr>
          <w:rFonts w:eastAsia="Times New Roman" w:cstheme="minorHAnsi"/>
          <w:color w:val="000000"/>
          <w:lang w:val="en-US" w:eastAsia="en-AU"/>
        </w:rPr>
      </w:pPr>
      <w:r>
        <w:rPr>
          <w:rFonts w:cstheme="minorHAnsi"/>
          <w:bCs/>
          <w:color w:val="000000"/>
          <w:u w:val="single"/>
          <w:lang w:val="en-US"/>
        </w:rPr>
        <w:t xml:space="preserve"> </w:t>
      </w: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777A56" w:rsidRDefault="00777A56" w:rsidP="00777A56">
      <w:pPr>
        <w:tabs>
          <w:tab w:val="num" w:pos="720"/>
        </w:tabs>
        <w:jc w:val="both"/>
        <w:rPr>
          <w:rFonts w:eastAsia="Times New Roman" w:cstheme="minorHAnsi"/>
          <w:color w:val="000000"/>
          <w:lang w:val="en-US" w:eastAsia="en-AU"/>
        </w:rPr>
      </w:pPr>
    </w:p>
    <w:p w:rsidR="00F035CF" w:rsidRDefault="00F035CF"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0966A2" w:rsidRDefault="000966A2" w:rsidP="002250DD">
      <w:pPr>
        <w:rPr>
          <w:b/>
          <w:sz w:val="28"/>
        </w:rPr>
      </w:pPr>
    </w:p>
    <w:p w:rsidR="00536263" w:rsidRDefault="00536263" w:rsidP="002250DD">
      <w:pPr>
        <w:rPr>
          <w:b/>
          <w:sz w:val="28"/>
        </w:rPr>
      </w:pPr>
    </w:p>
    <w:p w:rsidR="00536263" w:rsidRDefault="00536263" w:rsidP="002250DD">
      <w:pPr>
        <w:rPr>
          <w:b/>
          <w:sz w:val="28"/>
        </w:rPr>
      </w:pPr>
    </w:p>
    <w:p w:rsidR="00536263" w:rsidRDefault="00536263" w:rsidP="002250DD">
      <w:pPr>
        <w:rPr>
          <w:b/>
          <w:sz w:val="28"/>
        </w:rPr>
      </w:pPr>
    </w:p>
    <w:p w:rsidR="00AE01C9" w:rsidRPr="00296801" w:rsidRDefault="00AE01C9" w:rsidP="002250DD">
      <w:pPr>
        <w:rPr>
          <w:b/>
          <w:sz w:val="28"/>
        </w:rPr>
      </w:pPr>
      <w:r w:rsidRPr="00296801">
        <w:rPr>
          <w:b/>
          <w:sz w:val="28"/>
        </w:rPr>
        <w:lastRenderedPageBreak/>
        <w:t>Further Information</w:t>
      </w:r>
    </w:p>
    <w:p w:rsidR="00895B84" w:rsidRDefault="00895B84" w:rsidP="001A67E7">
      <w:pPr>
        <w:pStyle w:val="ListParagraph"/>
        <w:numPr>
          <w:ilvl w:val="0"/>
          <w:numId w:val="9"/>
        </w:numPr>
      </w:pPr>
      <w:r>
        <w:t xml:space="preserve">Constitution of </w:t>
      </w:r>
      <w:r w:rsidR="001A6DD6">
        <w:t>T</w:t>
      </w:r>
      <w:r>
        <w:t xml:space="preserve">he Gambia: </w:t>
      </w:r>
      <w:hyperlink r:id="rId13" w:history="1">
        <w:r w:rsidR="001A67E7" w:rsidRPr="001A6DD6">
          <w:rPr>
            <w:rStyle w:val="Hyperlink"/>
          </w:rPr>
          <w:t>http://www.ilo.org/dyn/travail/docs/1952/GMB48490.pdf</w:t>
        </w:r>
      </w:hyperlink>
      <w:r w:rsidR="001A67E7" w:rsidRPr="001A67E7" w:rsidDel="001A67E7">
        <w:t xml:space="preserve"> </w:t>
      </w:r>
    </w:p>
    <w:p w:rsidR="00895B84" w:rsidRDefault="006B012B" w:rsidP="006B012B">
      <w:pPr>
        <w:pStyle w:val="ListParagraph"/>
        <w:numPr>
          <w:ilvl w:val="0"/>
          <w:numId w:val="9"/>
        </w:numPr>
      </w:pPr>
      <w:r>
        <w:t>Universal Periodic Review</w:t>
      </w:r>
      <w:r w:rsidR="00895B84">
        <w:t xml:space="preserve">: </w:t>
      </w:r>
      <w:hyperlink r:id="rId14" w:history="1">
        <w:r w:rsidRPr="00151319">
          <w:rPr>
            <w:rStyle w:val="Hyperlink"/>
          </w:rPr>
          <w:t>http://www.ohchr.org/EN/HRBodies/UPR/Pages/GMSession20.aspx</w:t>
        </w:r>
      </w:hyperlink>
      <w:r>
        <w:t xml:space="preserve">  </w:t>
      </w:r>
    </w:p>
    <w:p w:rsidR="00895B84" w:rsidRDefault="006B012B" w:rsidP="00895B84">
      <w:pPr>
        <w:pStyle w:val="ListParagraph"/>
        <w:numPr>
          <w:ilvl w:val="0"/>
          <w:numId w:val="9"/>
        </w:numPr>
      </w:pPr>
      <w:r w:rsidRPr="006B012B">
        <w:rPr>
          <w:bCs/>
        </w:rPr>
        <w:t>Report of the United Nations High Commissioner for Human Rights</w:t>
      </w:r>
      <w:r>
        <w:rPr>
          <w:bCs/>
        </w:rPr>
        <w:t xml:space="preserve">: </w:t>
      </w:r>
      <w:r>
        <w:t xml:space="preserve"> </w:t>
      </w:r>
      <w:hyperlink r:id="rId15" w:history="1">
        <w:r w:rsidRPr="006B012B">
          <w:rPr>
            <w:rStyle w:val="Hyperlink"/>
          </w:rPr>
          <w:t>http://daccess-dds-ny.un.org/doc/UNDOC/GEN/G14/139/01/PDF/G1413901.pdf?OpenElement</w:t>
        </w:r>
      </w:hyperlink>
      <w:r>
        <w:t xml:space="preserve"> </w:t>
      </w:r>
    </w:p>
    <w:p w:rsidR="00895B84" w:rsidRDefault="006B012B" w:rsidP="006B012B">
      <w:pPr>
        <w:pStyle w:val="ListParagraph"/>
        <w:numPr>
          <w:ilvl w:val="0"/>
          <w:numId w:val="9"/>
        </w:numPr>
      </w:pPr>
      <w:r>
        <w:t xml:space="preserve">UNCT: </w:t>
      </w:r>
      <w:hyperlink r:id="rId16" w:history="1">
        <w:r w:rsidRPr="001A67E7">
          <w:rPr>
            <w:rStyle w:val="Hyperlink"/>
          </w:rPr>
          <w:t>http://reliefweb.int/organization/unct-gambia</w:t>
        </w:r>
      </w:hyperlink>
    </w:p>
    <w:p w:rsidR="00895B84" w:rsidRDefault="00296801" w:rsidP="00895B84">
      <w:pPr>
        <w:pStyle w:val="ListParagraph"/>
        <w:numPr>
          <w:ilvl w:val="0"/>
          <w:numId w:val="9"/>
        </w:numPr>
      </w:pPr>
      <w:r w:rsidRPr="00296801">
        <w:t>UNDAF:</w:t>
      </w:r>
      <w:r w:rsidRPr="00536263">
        <w:rPr>
          <w:b/>
        </w:rPr>
        <w:t xml:space="preserve"> </w:t>
      </w:r>
      <w:hyperlink r:id="rId17" w:history="1">
        <w:r w:rsidR="006B012B" w:rsidRPr="00151319">
          <w:rPr>
            <w:rStyle w:val="Hyperlink"/>
          </w:rPr>
          <w:t>http://countryoffice.unfpa.org/thegambia/drive/UNDAF_2012-2016-.pdf</w:t>
        </w:r>
      </w:hyperlink>
      <w:r w:rsidR="006B012B">
        <w:t xml:space="preserve"> </w:t>
      </w:r>
      <w:r w:rsidR="00895B84">
        <w:t xml:space="preserve"> </w:t>
      </w:r>
    </w:p>
    <w:p w:rsidR="00296801" w:rsidRPr="00296801" w:rsidRDefault="00296801" w:rsidP="00895B84">
      <w:pPr>
        <w:pStyle w:val="ListParagraph"/>
        <w:numPr>
          <w:ilvl w:val="0"/>
          <w:numId w:val="9"/>
        </w:numPr>
      </w:pPr>
      <w:r>
        <w:t>UN-Habitat</w:t>
      </w:r>
      <w:r w:rsidR="006B012B">
        <w:t xml:space="preserve"> Gambia</w:t>
      </w:r>
      <w:r w:rsidR="00777A56">
        <w:t xml:space="preserve"> </w:t>
      </w:r>
      <w:r>
        <w:t xml:space="preserve">Summary: </w:t>
      </w:r>
      <w:hyperlink r:id="rId18" w:history="1"/>
      <w:hyperlink r:id="rId19" w:history="1"/>
      <w:r w:rsidR="00536263">
        <w:rPr>
          <w:rStyle w:val="Hyperlink"/>
        </w:rPr>
        <w:t xml:space="preserve"> </w:t>
      </w:r>
      <w:r w:rsidR="006B012B">
        <w:t xml:space="preserve"> </w:t>
      </w:r>
      <w:hyperlink r:id="rId20" w:history="1">
        <w:r w:rsidR="006B012B" w:rsidRPr="00151319">
          <w:rPr>
            <w:rStyle w:val="Hyperlink"/>
          </w:rPr>
          <w:t>http://mirror.unhabitat.org/content.asp?cid=10996&amp;catid=592&amp;typeid=79</w:t>
        </w:r>
      </w:hyperlink>
      <w:r w:rsidR="006B012B">
        <w:rPr>
          <w:u w:val="single"/>
        </w:rPr>
        <w:t xml:space="preserve"> </w:t>
      </w:r>
      <w:r w:rsidR="006B012B" w:rsidRPr="006B012B">
        <w:t xml:space="preserve"> </w:t>
      </w:r>
      <w:r w:rsidR="006B012B">
        <w:t xml:space="preserve"> </w:t>
      </w:r>
      <w:r w:rsidR="006B012B" w:rsidRPr="006B012B">
        <w:t xml:space="preserve"> </w:t>
      </w:r>
    </w:p>
    <w:p w:rsidR="00093B40" w:rsidRPr="00093B40" w:rsidRDefault="00A80161" w:rsidP="00093B40">
      <w:pPr>
        <w:pStyle w:val="ListParagraph"/>
        <w:numPr>
          <w:ilvl w:val="0"/>
          <w:numId w:val="8"/>
        </w:numPr>
        <w:rPr>
          <w:lang w:val="pt-BR"/>
        </w:rPr>
      </w:pPr>
      <w:r>
        <w:t xml:space="preserve">UN-OHCHR: </w:t>
      </w:r>
      <w:hyperlink r:id="rId21" w:history="1">
        <w:r w:rsidR="00093B40" w:rsidRPr="009B7D6D">
          <w:rPr>
            <w:rStyle w:val="Hyperlink"/>
          </w:rPr>
          <w:t>http://www.ohchr.org/EN/Pages/WelcomePage.aspx</w:t>
        </w:r>
      </w:hyperlink>
      <w:r w:rsidR="00093B40">
        <w:t xml:space="preserve"> </w:t>
      </w:r>
    </w:p>
    <w:p w:rsidR="00A80161" w:rsidRPr="00093B40" w:rsidRDefault="00093B40" w:rsidP="00093B40">
      <w:pPr>
        <w:pStyle w:val="ListParagraph"/>
        <w:numPr>
          <w:ilvl w:val="0"/>
          <w:numId w:val="8"/>
        </w:numPr>
        <w:rPr>
          <w:rStyle w:val="Hyperlink"/>
          <w:color w:val="auto"/>
          <w:u w:val="none"/>
          <w:lang w:val="pt-BR"/>
        </w:rPr>
      </w:pPr>
      <w:r>
        <w:t>U</w:t>
      </w:r>
      <w:r w:rsidR="00A80161" w:rsidRPr="00093B40">
        <w:rPr>
          <w:lang w:val="pt-BR"/>
        </w:rPr>
        <w:t xml:space="preserve">N-Habitat: </w:t>
      </w:r>
      <w:hyperlink r:id="rId22" w:history="1">
        <w:r w:rsidR="00A80161" w:rsidRPr="00093B40">
          <w:rPr>
            <w:rStyle w:val="Hyperlink"/>
            <w:lang w:val="pt-BR"/>
          </w:rPr>
          <w:t>http://unhabitat.org/</w:t>
        </w:r>
      </w:hyperlink>
    </w:p>
    <w:p w:rsidR="00A80161" w:rsidRDefault="00A80161" w:rsidP="002250DD">
      <w:pPr>
        <w:pStyle w:val="ListParagraph"/>
        <w:numPr>
          <w:ilvl w:val="0"/>
          <w:numId w:val="8"/>
        </w:numPr>
      </w:pPr>
      <w:r>
        <w:t xml:space="preserve">Universal Periodic Review: </w:t>
      </w:r>
      <w:hyperlink r:id="rId23" w:history="1">
        <w:r w:rsidRPr="00C57DBD">
          <w:rPr>
            <w:rStyle w:val="Hyperlink"/>
          </w:rPr>
          <w:t>http://www.ohchr.org/EN/HRBodies/UPR/Pages/UPRMain.aspx</w:t>
        </w:r>
      </w:hyperlink>
    </w:p>
    <w:p w:rsidR="00A80161" w:rsidRPr="002E7D99" w:rsidRDefault="00A80161" w:rsidP="002250DD">
      <w:pPr>
        <w:pStyle w:val="ListParagraph"/>
        <w:numPr>
          <w:ilvl w:val="0"/>
          <w:numId w:val="8"/>
        </w:numPr>
      </w:pPr>
      <w:r>
        <w:t>Special Rapporteur</w:t>
      </w:r>
      <w:r w:rsidR="000B7719">
        <w:t xml:space="preserve"> on Adequate Housing</w:t>
      </w:r>
      <w:r>
        <w:t xml:space="preserve">: </w:t>
      </w:r>
      <w:hyperlink r:id="rId24" w:history="1">
        <w:r w:rsidRPr="00C57DBD">
          <w:rPr>
            <w:rStyle w:val="Hyperlink"/>
          </w:rPr>
          <w:t>http://www.ohchr.org/EN/Issues/Housing/Pages/HousingIndex.aspx</w:t>
        </w:r>
      </w:hyperlink>
      <w:r>
        <w:t xml:space="preserve"> </w:t>
      </w:r>
    </w:p>
    <w:p w:rsidR="00A80161" w:rsidRPr="00296801" w:rsidRDefault="00A80161" w:rsidP="002250DD">
      <w:pPr>
        <w:ind w:left="360"/>
      </w:pPr>
    </w:p>
    <w:p w:rsidR="00AE01C9" w:rsidRPr="00296801" w:rsidRDefault="00376665" w:rsidP="002250DD">
      <w:pPr>
        <w:ind w:left="360"/>
      </w:pPr>
      <w:r w:rsidRPr="00296801">
        <w:t xml:space="preserve"> </w:t>
      </w:r>
    </w:p>
    <w:p w:rsidR="002E7D99" w:rsidRPr="00296801" w:rsidRDefault="002E7D99" w:rsidP="002250DD">
      <w:pPr>
        <w:rPr>
          <w:sz w:val="18"/>
        </w:rPr>
      </w:pPr>
    </w:p>
    <w:sectPr w:rsidR="002E7D99" w:rsidRPr="00296801" w:rsidSect="007C4F87">
      <w:headerReference w:type="default" r:id="rId25"/>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D0" w:rsidRDefault="001C69D0" w:rsidP="00E70BF1">
      <w:pPr>
        <w:spacing w:after="0" w:line="240" w:lineRule="auto"/>
      </w:pPr>
      <w:r>
        <w:separator/>
      </w:r>
    </w:p>
  </w:endnote>
  <w:endnote w:type="continuationSeparator" w:id="0">
    <w:p w:rsidR="001C69D0" w:rsidRDefault="001C69D0"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D0" w:rsidRDefault="001C69D0" w:rsidP="00E70BF1">
      <w:pPr>
        <w:spacing w:after="0" w:line="240" w:lineRule="auto"/>
      </w:pPr>
      <w:r>
        <w:separator/>
      </w:r>
    </w:p>
  </w:footnote>
  <w:footnote w:type="continuationSeparator" w:id="0">
    <w:p w:rsidR="001C69D0" w:rsidRDefault="001C69D0" w:rsidP="00E70BF1">
      <w:pPr>
        <w:spacing w:after="0" w:line="240" w:lineRule="auto"/>
      </w:pPr>
      <w:r>
        <w:continuationSeparator/>
      </w:r>
    </w:p>
  </w:footnote>
  <w:footnote w:id="1">
    <w:p w:rsidR="00C943F8" w:rsidRPr="00F069CC" w:rsidRDefault="00C943F8" w:rsidP="00C943F8">
      <w:pPr>
        <w:pStyle w:val="FootnoteText"/>
        <w:rPr>
          <w:lang w:val="en-US"/>
        </w:rPr>
      </w:pPr>
      <w:r>
        <w:rPr>
          <w:rStyle w:val="FootnoteReference"/>
        </w:rPr>
        <w:footnoteRef/>
      </w:r>
      <w:r>
        <w:t xml:space="preserve"> </w:t>
      </w:r>
      <w:r w:rsidR="001A67E7" w:rsidRPr="001A67E7">
        <w:t>http://www.ilo.org/dyn/travail/docs/1952/GMB48490.pdf</w:t>
      </w:r>
      <w:r w:rsidR="001A67E7" w:rsidRPr="001A67E7" w:rsidDel="001A67E7">
        <w:t xml:space="preserve"> </w:t>
      </w:r>
    </w:p>
  </w:footnote>
  <w:footnote w:id="2">
    <w:p w:rsidR="00C943F8" w:rsidRPr="00B03502" w:rsidRDefault="00C943F8" w:rsidP="00C943F8">
      <w:pPr>
        <w:pStyle w:val="FootnoteText"/>
        <w:rPr>
          <w:lang w:val="en-US"/>
        </w:rPr>
      </w:pPr>
      <w:r>
        <w:rPr>
          <w:rStyle w:val="FootnoteReference"/>
        </w:rPr>
        <w:footnoteRef/>
      </w:r>
      <w:r>
        <w:t xml:space="preserve"> </w:t>
      </w:r>
      <w:r w:rsidRPr="00B03502">
        <w:t>http://www.accessgambia.com/information/local-government-lands.html</w:t>
      </w:r>
    </w:p>
  </w:footnote>
  <w:footnote w:id="3">
    <w:p w:rsidR="001A6DD6" w:rsidRPr="002863BB" w:rsidRDefault="001A6DD6" w:rsidP="001A6DD6">
      <w:pPr>
        <w:pStyle w:val="FootnoteText"/>
        <w:rPr>
          <w:lang w:val="en-US"/>
        </w:rPr>
      </w:pPr>
      <w:r>
        <w:rPr>
          <w:rStyle w:val="FootnoteReference"/>
        </w:rPr>
        <w:footnoteRef/>
      </w:r>
      <w:r>
        <w:t xml:space="preserve"> </w:t>
      </w:r>
      <w:hyperlink r:id="rId1" w:history="1">
        <w:r w:rsidRPr="001A6DD6">
          <w:rPr>
            <w:rStyle w:val="Hyperlink"/>
          </w:rPr>
          <w:t>http://www.statehouse.gm/vision2020/</w:t>
        </w:r>
        <w:r w:rsidRPr="001A6DD6">
          <w:rPr>
            <w:rStyle w:val="Hyperlink"/>
          </w:rPr>
          <w:t>p</w:t>
        </w:r>
        <w:r w:rsidRPr="001A6DD6">
          <w:rPr>
            <w:rStyle w:val="Hyperlink"/>
          </w:rPr>
          <w:t>art3.htm</w:t>
        </w:r>
      </w:hyperlink>
    </w:p>
  </w:footnote>
  <w:footnote w:id="4">
    <w:p w:rsidR="00376665" w:rsidRPr="00376665" w:rsidRDefault="00376665">
      <w:pPr>
        <w:pStyle w:val="FootnoteText"/>
        <w:rPr>
          <w:lang w:val="en-US"/>
        </w:rPr>
      </w:pPr>
      <w:r>
        <w:rPr>
          <w:rStyle w:val="FootnoteReference"/>
        </w:rPr>
        <w:footnoteRef/>
      </w:r>
      <w:r>
        <w:t xml:space="preserve"> </w:t>
      </w:r>
      <w:r w:rsidRPr="00376665">
        <w:t>http://indicators.ohchr.org/</w:t>
      </w:r>
    </w:p>
  </w:footnote>
  <w:footnote w:id="5">
    <w:p w:rsidR="00855C17" w:rsidRPr="00BF207E" w:rsidRDefault="00855C17" w:rsidP="00855C17">
      <w:pPr>
        <w:pStyle w:val="FootnoteText"/>
        <w:rPr>
          <w:lang w:val="en-US"/>
        </w:rPr>
      </w:pPr>
      <w:r>
        <w:rPr>
          <w:rStyle w:val="FootnoteReference"/>
        </w:rPr>
        <w:footnoteRef/>
      </w:r>
      <w:r>
        <w:t xml:space="preserve"> </w:t>
      </w:r>
      <w:hyperlink r:id="rId2" w:history="1">
        <w:r w:rsidRPr="007E69CA">
          <w:rPr>
            <w:rStyle w:val="Hyperlink"/>
          </w:rPr>
          <w:t>http://www.ohchr.org/EN/HRBodies/UPR/PAGES/GMSession7.aspx</w:t>
        </w:r>
      </w:hyperlink>
      <w:r>
        <w:t xml:space="preserve">  </w:t>
      </w:r>
    </w:p>
  </w:footnote>
  <w:footnote w:id="6">
    <w:p w:rsidR="00C4509D" w:rsidRPr="00C4509D" w:rsidRDefault="00C4509D">
      <w:pPr>
        <w:pStyle w:val="FootnoteText"/>
        <w:rPr>
          <w:lang w:val="en-US"/>
        </w:rPr>
      </w:pPr>
      <w:r>
        <w:rPr>
          <w:rStyle w:val="FootnoteReference"/>
        </w:rPr>
        <w:footnoteRef/>
      </w:r>
      <w:hyperlink r:id="rId3" w:history="1">
        <w:r w:rsidR="00855C17" w:rsidRPr="00151319">
          <w:rPr>
            <w:rStyle w:val="Hyperlink"/>
          </w:rPr>
          <w:t>http://daccess-dds-ny.un.org/doc/UNDOC/GEN/G14/250/81/PDF/G1425081.pdf?OpenElement</w:t>
        </w:r>
      </w:hyperlink>
      <w:r w:rsidR="00855C17">
        <w:t xml:space="preserve"> </w:t>
      </w:r>
      <w:r w:rsidR="00600921">
        <w:t xml:space="preserve"> </w:t>
      </w:r>
      <w:r w:rsidR="00855C17">
        <w:t xml:space="preserve"> </w:t>
      </w:r>
    </w:p>
  </w:footnote>
  <w:footnote w:id="7">
    <w:p w:rsidR="000966A2" w:rsidRPr="000966A2" w:rsidRDefault="000966A2">
      <w:pPr>
        <w:pStyle w:val="FootnoteText"/>
        <w:rPr>
          <w:lang w:val="en-US"/>
        </w:rPr>
      </w:pPr>
      <w:r>
        <w:rPr>
          <w:rStyle w:val="FootnoteReference"/>
        </w:rPr>
        <w:footnoteRef/>
      </w:r>
      <w:r w:rsidR="00855C17">
        <w:t xml:space="preserve"> </w:t>
      </w:r>
      <w:r>
        <w:t xml:space="preserve"> </w:t>
      </w:r>
      <w:hyperlink r:id="rId4" w:history="1">
        <w:r w:rsidR="00855C17" w:rsidRPr="00151319">
          <w:rPr>
            <w:rStyle w:val="Hyperlink"/>
          </w:rPr>
          <w:t>http://daccess-dds-ny.un.org/doc/UNDOC/GEN/G14/139/01/PDF/G1413901.pdf?OpenElement</w:t>
        </w:r>
      </w:hyperlink>
      <w:r w:rsidR="00855C17">
        <w:t xml:space="preserve"> </w:t>
      </w:r>
      <w:r w:rsidR="00600921">
        <w:t xml:space="preserve"> </w:t>
      </w:r>
    </w:p>
  </w:footnote>
  <w:footnote w:id="8">
    <w:p w:rsidR="00855C17" w:rsidRPr="00BF207E" w:rsidRDefault="00855C17" w:rsidP="00855C17">
      <w:pPr>
        <w:pStyle w:val="FootnoteText"/>
        <w:rPr>
          <w:lang w:val="en-US"/>
        </w:rPr>
      </w:pPr>
      <w:r>
        <w:rPr>
          <w:rStyle w:val="FootnoteReference"/>
        </w:rPr>
        <w:footnoteRef/>
      </w:r>
      <w:r>
        <w:t xml:space="preserve"> </w:t>
      </w:r>
      <w:r w:rsidRPr="00BF207E">
        <w:t>Concluding observations (2014) E/C.12/NPL/CO/3</w:t>
      </w:r>
    </w:p>
  </w:footnote>
  <w:footnote w:id="9">
    <w:p w:rsidR="00855C17" w:rsidRPr="001A67E7" w:rsidRDefault="00855C17" w:rsidP="00855C17">
      <w:pPr>
        <w:pStyle w:val="FootnoteText"/>
        <w:rPr>
          <w:lang w:val="en-US"/>
        </w:rPr>
      </w:pPr>
      <w:r w:rsidRPr="001A67E7">
        <w:rPr>
          <w:rStyle w:val="FootnoteReference"/>
        </w:rPr>
        <w:footnoteRef/>
      </w:r>
      <w:r w:rsidRPr="001A67E7">
        <w:t xml:space="preserve"> </w:t>
      </w:r>
      <w:r w:rsidR="006B012B" w:rsidRPr="001A67E7">
        <w:t xml:space="preserve"> http://reliefweb.int/organization/unct-gambia</w:t>
      </w:r>
    </w:p>
  </w:footnote>
  <w:footnote w:id="10">
    <w:p w:rsidR="00895B84" w:rsidRPr="002863BB" w:rsidRDefault="00895B84" w:rsidP="00895B84">
      <w:pPr>
        <w:jc w:val="both"/>
        <w:rPr>
          <w:sz w:val="20"/>
          <w:szCs w:val="20"/>
        </w:rPr>
      </w:pPr>
      <w:r w:rsidRPr="002863BB">
        <w:rPr>
          <w:rStyle w:val="FootnoteReference"/>
          <w:sz w:val="20"/>
          <w:szCs w:val="20"/>
        </w:rPr>
        <w:footnoteRef/>
      </w:r>
      <w:r w:rsidRPr="002863BB">
        <w:rPr>
          <w:sz w:val="20"/>
          <w:szCs w:val="20"/>
        </w:rPr>
        <w:t xml:space="preserve"> </w:t>
      </w:r>
      <w:hyperlink r:id="rId5" w:history="1">
        <w:r w:rsidRPr="002863BB">
          <w:rPr>
            <w:rStyle w:val="Hyperlink"/>
            <w:sz w:val="20"/>
            <w:szCs w:val="20"/>
          </w:rPr>
          <w:t>http://countryoffice.unfpa.org/thegambia/drive/UNDAF_2012-2016-.pdf</w:t>
        </w:r>
      </w:hyperlink>
    </w:p>
  </w:footnote>
  <w:footnote w:id="11">
    <w:p w:rsidR="00777A56" w:rsidRPr="00777A56" w:rsidRDefault="00777A56">
      <w:pPr>
        <w:pStyle w:val="FootnoteText"/>
        <w:rPr>
          <w:lang w:val="en-US"/>
        </w:rPr>
      </w:pPr>
      <w:r w:rsidRPr="001A67E7">
        <w:rPr>
          <w:rStyle w:val="FootnoteReference"/>
        </w:rPr>
        <w:footnoteRef/>
      </w:r>
      <w:r w:rsidRPr="001A67E7">
        <w:t xml:space="preserve"> </w:t>
      </w:r>
      <w:hyperlink r:id="rId6" w:history="1"/>
      <w:r w:rsidR="00895B84" w:rsidRPr="002863BB">
        <w:rPr>
          <w:rStyle w:val="Hyperlink"/>
        </w:rPr>
        <w:t xml:space="preserve"> http://mirror.unhabitat.org/content.asp?cid=10996&amp;catid=592&amp;typeid=79</w:t>
      </w:r>
      <w:r w:rsidR="001C0294" w:rsidRPr="00866355">
        <w:t xml:space="preserve"> </w:t>
      </w:r>
      <w:r w:rsidR="001C0294">
        <w:t xml:space="preserve"> </w:t>
      </w:r>
    </w:p>
  </w:footnote>
  <w:footnote w:id="12">
    <w:p w:rsidR="00895B84" w:rsidRPr="006750BC" w:rsidRDefault="00895B84" w:rsidP="00895B84">
      <w:pPr>
        <w:pStyle w:val="FootnoteText"/>
        <w:rPr>
          <w:lang w:val="en-US"/>
        </w:rPr>
      </w:pPr>
      <w:r>
        <w:rPr>
          <w:rStyle w:val="FootnoteReference"/>
        </w:rPr>
        <w:footnoteRef/>
      </w:r>
      <w:r>
        <w:t xml:space="preserve"> </w:t>
      </w:r>
      <w:hyperlink r:id="rId7" w:history="1">
        <w:r w:rsidRPr="0000698A">
          <w:rPr>
            <w:rStyle w:val="Hyperlink"/>
          </w:rPr>
          <w:t>http://unhabitat.org/urban-initiatives/initiatives-programmes/participatory-slum-upgrading/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42E50D72" wp14:editId="6841AD45">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751EBF" w:rsidP="007C4F87">
        <w:pPr>
          <w:jc w:val="center"/>
          <w:rPr>
            <w:b/>
            <w:color w:val="FFFFFF" w:themeColor="background1"/>
          </w:rPr>
        </w:pPr>
        <w:r>
          <w:rPr>
            <w:b/>
            <w:color w:val="FFFFFF" w:themeColor="background1"/>
          </w:rPr>
          <w:t xml:space="preserve">Housing Rights and Human Rights Brief </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5F6BDF">
          <w:rPr>
            <w:b/>
            <w:noProof/>
            <w:color w:val="FFFFFF" w:themeColor="background1"/>
          </w:rPr>
          <w:t>2</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1CC7"/>
    <w:multiLevelType w:val="hybridMultilevel"/>
    <w:tmpl w:val="E8B02604"/>
    <w:lvl w:ilvl="0" w:tplc="C602E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B300B"/>
    <w:multiLevelType w:val="hybridMultilevel"/>
    <w:tmpl w:val="969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15840"/>
    <w:multiLevelType w:val="hybridMultilevel"/>
    <w:tmpl w:val="C7DC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AA36AD"/>
    <w:multiLevelType w:val="multilevel"/>
    <w:tmpl w:val="A698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937FD5"/>
    <w:multiLevelType w:val="hybridMultilevel"/>
    <w:tmpl w:val="D2E88C9C"/>
    <w:lvl w:ilvl="0" w:tplc="A94080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761B0"/>
    <w:multiLevelType w:val="hybridMultilevel"/>
    <w:tmpl w:val="FEDE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A011BF"/>
    <w:multiLevelType w:val="multilevel"/>
    <w:tmpl w:val="03C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1D6A4C"/>
    <w:multiLevelType w:val="hybridMultilevel"/>
    <w:tmpl w:val="AA96D5CC"/>
    <w:lvl w:ilvl="0" w:tplc="A054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05D11"/>
    <w:multiLevelType w:val="multilevel"/>
    <w:tmpl w:val="5C0E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9"/>
  </w:num>
  <w:num w:numId="4">
    <w:abstractNumId w:val="10"/>
  </w:num>
  <w:num w:numId="5">
    <w:abstractNumId w:val="12"/>
  </w:num>
  <w:num w:numId="6">
    <w:abstractNumId w:val="2"/>
  </w:num>
  <w:num w:numId="7">
    <w:abstractNumId w:val="13"/>
  </w:num>
  <w:num w:numId="8">
    <w:abstractNumId w:val="6"/>
  </w:num>
  <w:num w:numId="9">
    <w:abstractNumId w:val="8"/>
  </w:num>
  <w:num w:numId="10">
    <w:abstractNumId w:val="11"/>
  </w:num>
  <w:num w:numId="11">
    <w:abstractNumId w:val="4"/>
  </w:num>
  <w:num w:numId="12">
    <w:abstractNumId w:val="16"/>
  </w:num>
  <w:num w:numId="13">
    <w:abstractNumId w:val="15"/>
  </w:num>
  <w:num w:numId="14">
    <w:abstractNumId w:val="1"/>
  </w:num>
  <w:num w:numId="15">
    <w:abstractNumId w:val="7"/>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283C"/>
    <w:rsid w:val="00032465"/>
    <w:rsid w:val="000743B7"/>
    <w:rsid w:val="00093B40"/>
    <w:rsid w:val="000966A2"/>
    <w:rsid w:val="000B5A30"/>
    <w:rsid w:val="000B7719"/>
    <w:rsid w:val="00106DFA"/>
    <w:rsid w:val="001158E4"/>
    <w:rsid w:val="001A3D0D"/>
    <w:rsid w:val="001A47CA"/>
    <w:rsid w:val="001A67E7"/>
    <w:rsid w:val="001A6DD6"/>
    <w:rsid w:val="001A78AB"/>
    <w:rsid w:val="001B7B83"/>
    <w:rsid w:val="001C0294"/>
    <w:rsid w:val="001C69D0"/>
    <w:rsid w:val="001E2277"/>
    <w:rsid w:val="002250DD"/>
    <w:rsid w:val="002464B7"/>
    <w:rsid w:val="00246E99"/>
    <w:rsid w:val="00246FEC"/>
    <w:rsid w:val="002863BB"/>
    <w:rsid w:val="00296801"/>
    <w:rsid w:val="002B3749"/>
    <w:rsid w:val="002D583F"/>
    <w:rsid w:val="002D66D4"/>
    <w:rsid w:val="002E7D99"/>
    <w:rsid w:val="002F5242"/>
    <w:rsid w:val="00324C41"/>
    <w:rsid w:val="0033417F"/>
    <w:rsid w:val="00376665"/>
    <w:rsid w:val="003A7099"/>
    <w:rsid w:val="003B4C07"/>
    <w:rsid w:val="00414B78"/>
    <w:rsid w:val="00421BB5"/>
    <w:rsid w:val="00437199"/>
    <w:rsid w:val="004B0CB8"/>
    <w:rsid w:val="004C4FDD"/>
    <w:rsid w:val="004C67A5"/>
    <w:rsid w:val="004E7881"/>
    <w:rsid w:val="00515A4F"/>
    <w:rsid w:val="00536263"/>
    <w:rsid w:val="005B708E"/>
    <w:rsid w:val="005E5A86"/>
    <w:rsid w:val="005F30DA"/>
    <w:rsid w:val="005F6BDF"/>
    <w:rsid w:val="00600921"/>
    <w:rsid w:val="006047A4"/>
    <w:rsid w:val="0061088A"/>
    <w:rsid w:val="00670A70"/>
    <w:rsid w:val="006B012B"/>
    <w:rsid w:val="006F6204"/>
    <w:rsid w:val="006F7D8D"/>
    <w:rsid w:val="00703E47"/>
    <w:rsid w:val="00707A15"/>
    <w:rsid w:val="00734494"/>
    <w:rsid w:val="007464A5"/>
    <w:rsid w:val="00751EBF"/>
    <w:rsid w:val="00766D5B"/>
    <w:rsid w:val="00777A56"/>
    <w:rsid w:val="007C4F87"/>
    <w:rsid w:val="007D084A"/>
    <w:rsid w:val="0080312B"/>
    <w:rsid w:val="00852DA4"/>
    <w:rsid w:val="00855C17"/>
    <w:rsid w:val="00860FA2"/>
    <w:rsid w:val="00895B84"/>
    <w:rsid w:val="00897E59"/>
    <w:rsid w:val="008D5950"/>
    <w:rsid w:val="008E35A6"/>
    <w:rsid w:val="008E5F2A"/>
    <w:rsid w:val="009014D6"/>
    <w:rsid w:val="00915F0E"/>
    <w:rsid w:val="009175C9"/>
    <w:rsid w:val="0095655B"/>
    <w:rsid w:val="00986B42"/>
    <w:rsid w:val="009B092E"/>
    <w:rsid w:val="009E049D"/>
    <w:rsid w:val="009E5863"/>
    <w:rsid w:val="00A17061"/>
    <w:rsid w:val="00A73392"/>
    <w:rsid w:val="00A80161"/>
    <w:rsid w:val="00AB4F91"/>
    <w:rsid w:val="00AD0187"/>
    <w:rsid w:val="00AE01C9"/>
    <w:rsid w:val="00AE0E37"/>
    <w:rsid w:val="00AE4B5F"/>
    <w:rsid w:val="00B1561D"/>
    <w:rsid w:val="00B3333A"/>
    <w:rsid w:val="00B33886"/>
    <w:rsid w:val="00B4476E"/>
    <w:rsid w:val="00B5279F"/>
    <w:rsid w:val="00B81065"/>
    <w:rsid w:val="00B97C38"/>
    <w:rsid w:val="00BC4588"/>
    <w:rsid w:val="00BF207E"/>
    <w:rsid w:val="00C36F99"/>
    <w:rsid w:val="00C4509D"/>
    <w:rsid w:val="00C8361C"/>
    <w:rsid w:val="00C9150A"/>
    <w:rsid w:val="00C943F8"/>
    <w:rsid w:val="00CE3053"/>
    <w:rsid w:val="00CF7BAD"/>
    <w:rsid w:val="00D062AD"/>
    <w:rsid w:val="00D1198A"/>
    <w:rsid w:val="00D15FF0"/>
    <w:rsid w:val="00D26281"/>
    <w:rsid w:val="00D47633"/>
    <w:rsid w:val="00D653E2"/>
    <w:rsid w:val="00D86897"/>
    <w:rsid w:val="00D90C7E"/>
    <w:rsid w:val="00DC50F5"/>
    <w:rsid w:val="00DD4381"/>
    <w:rsid w:val="00DE0A55"/>
    <w:rsid w:val="00E47699"/>
    <w:rsid w:val="00E70BF1"/>
    <w:rsid w:val="00E7127F"/>
    <w:rsid w:val="00E934B7"/>
    <w:rsid w:val="00EA7D02"/>
    <w:rsid w:val="00EC4399"/>
    <w:rsid w:val="00EE311F"/>
    <w:rsid w:val="00F035CF"/>
    <w:rsid w:val="00F43B09"/>
    <w:rsid w:val="00F56865"/>
    <w:rsid w:val="00F705CE"/>
    <w:rsid w:val="00FB7E00"/>
    <w:rsid w:val="00FC075D"/>
    <w:rsid w:val="00FD75A8"/>
    <w:rsid w:val="00FE0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9175C9"/>
    <w:rPr>
      <w:sz w:val="16"/>
      <w:szCs w:val="16"/>
    </w:rPr>
  </w:style>
  <w:style w:type="paragraph" w:styleId="CommentText">
    <w:name w:val="annotation text"/>
    <w:basedOn w:val="Normal"/>
    <w:link w:val="CommentTextChar"/>
    <w:uiPriority w:val="99"/>
    <w:semiHidden/>
    <w:unhideWhenUsed/>
    <w:rsid w:val="009175C9"/>
    <w:pPr>
      <w:spacing w:line="240" w:lineRule="auto"/>
    </w:pPr>
    <w:rPr>
      <w:sz w:val="20"/>
      <w:szCs w:val="20"/>
    </w:rPr>
  </w:style>
  <w:style w:type="character" w:customStyle="1" w:styleId="CommentTextChar">
    <w:name w:val="Comment Text Char"/>
    <w:basedOn w:val="DefaultParagraphFont"/>
    <w:link w:val="CommentText"/>
    <w:uiPriority w:val="99"/>
    <w:semiHidden/>
    <w:rsid w:val="009175C9"/>
    <w:rPr>
      <w:sz w:val="20"/>
      <w:szCs w:val="20"/>
    </w:rPr>
  </w:style>
  <w:style w:type="paragraph" w:styleId="CommentSubject">
    <w:name w:val="annotation subject"/>
    <w:basedOn w:val="CommentText"/>
    <w:next w:val="CommentText"/>
    <w:link w:val="CommentSubjectChar"/>
    <w:uiPriority w:val="99"/>
    <w:semiHidden/>
    <w:unhideWhenUsed/>
    <w:rsid w:val="009175C9"/>
    <w:rPr>
      <w:b/>
      <w:bCs/>
    </w:rPr>
  </w:style>
  <w:style w:type="character" w:customStyle="1" w:styleId="CommentSubjectChar">
    <w:name w:val="Comment Subject Char"/>
    <w:basedOn w:val="CommentTextChar"/>
    <w:link w:val="CommentSubject"/>
    <w:uiPriority w:val="99"/>
    <w:semiHidden/>
    <w:rsid w:val="009175C9"/>
    <w:rPr>
      <w:b/>
      <w:bCs/>
      <w:sz w:val="20"/>
      <w:szCs w:val="20"/>
    </w:rPr>
  </w:style>
  <w:style w:type="character" w:customStyle="1" w:styleId="apple-converted-space">
    <w:name w:val="apple-converted-space"/>
    <w:basedOn w:val="DefaultParagraphFont"/>
    <w:rsid w:val="00414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18">
      <w:bodyDiv w:val="1"/>
      <w:marLeft w:val="0"/>
      <w:marRight w:val="0"/>
      <w:marTop w:val="0"/>
      <w:marBottom w:val="0"/>
      <w:divBdr>
        <w:top w:val="none" w:sz="0" w:space="0" w:color="auto"/>
        <w:left w:val="none" w:sz="0" w:space="0" w:color="auto"/>
        <w:bottom w:val="none" w:sz="0" w:space="0" w:color="auto"/>
        <w:right w:val="none" w:sz="0" w:space="0" w:color="auto"/>
      </w:divBdr>
    </w:div>
    <w:div w:id="922298369">
      <w:bodyDiv w:val="1"/>
      <w:marLeft w:val="0"/>
      <w:marRight w:val="0"/>
      <w:marTop w:val="0"/>
      <w:marBottom w:val="0"/>
      <w:divBdr>
        <w:top w:val="none" w:sz="0" w:space="0" w:color="auto"/>
        <w:left w:val="none" w:sz="0" w:space="0" w:color="auto"/>
        <w:bottom w:val="none" w:sz="0" w:space="0" w:color="auto"/>
        <w:right w:val="none" w:sz="0" w:space="0" w:color="auto"/>
      </w:divBdr>
    </w:div>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689259598">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1817409057">
      <w:bodyDiv w:val="1"/>
      <w:marLeft w:val="0"/>
      <w:marRight w:val="0"/>
      <w:marTop w:val="0"/>
      <w:marBottom w:val="0"/>
      <w:divBdr>
        <w:top w:val="none" w:sz="0" w:space="0" w:color="auto"/>
        <w:left w:val="none" w:sz="0" w:space="0" w:color="auto"/>
        <w:bottom w:val="none" w:sz="0" w:space="0" w:color="auto"/>
        <w:right w:val="none" w:sz="0" w:space="0" w:color="auto"/>
      </w:divBdr>
    </w:div>
    <w:div w:id="18213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dyn/travail/docs/1952/GMB48490.pdf%20" TargetMode="External"/><Relationship Id="rId18" Type="http://schemas.openxmlformats.org/officeDocument/2006/relationships/hyperlink" Target="http://unhabitat.org/nep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hchr.org/EN/Pages/WelcomePage.aspx"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countryoffice.unfpa.org/thegambia/drive/UNDAF_2012-201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liefweb.int/organization/unct-gambia" TargetMode="External"/><Relationship Id="rId20" Type="http://schemas.openxmlformats.org/officeDocument/2006/relationships/hyperlink" Target="http://mirror.unhabitat.org/content.asp?cid=10996&amp;catid=592&amp;typeid=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www.ohchr.org/EN/Issues/Housing/Pages/HousingIndex.aspx" TargetMode="External"/><Relationship Id="rId5" Type="http://schemas.openxmlformats.org/officeDocument/2006/relationships/settings" Target="settings.xml"/><Relationship Id="rId15" Type="http://schemas.openxmlformats.org/officeDocument/2006/relationships/hyperlink" Target="http://daccess-dds-ny.un.org/doc/UNDOC/GEN/G14/139/01/PDF/G1413901.pdf?OpenElement" TargetMode="External"/><Relationship Id="rId23" Type="http://schemas.openxmlformats.org/officeDocument/2006/relationships/hyperlink" Target="http://www.ohchr.org/EN/HRBodies/UPR/Pages/UPRMain.aspx"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unhabitat.org/ethiopia/" TargetMode="Externa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ohchr.org/EN/HRBodies/UPR/Pages/GMSession20.aspx" TargetMode="External"/><Relationship Id="rId22" Type="http://schemas.openxmlformats.org/officeDocument/2006/relationships/hyperlink" Target="http://unhabitat.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ccess-dds-ny.un.org/doc/UNDOC/GEN/G14/250/81/PDF/G1425081.pdf?OpenElement" TargetMode="External"/><Relationship Id="rId7" Type="http://schemas.openxmlformats.org/officeDocument/2006/relationships/hyperlink" Target="http://unhabitat.org/urban-initiatives/initiatives-programmes/participatory-slum-upgrading/" TargetMode="External"/><Relationship Id="rId2" Type="http://schemas.openxmlformats.org/officeDocument/2006/relationships/hyperlink" Target="http://www.ohchr.org/EN/HRBodies/UPR/PAGES/GMSession7.aspx" TargetMode="External"/><Relationship Id="rId1" Type="http://schemas.openxmlformats.org/officeDocument/2006/relationships/hyperlink" Target="http://www.statehouse.gm/vision2020/part3.htm" TargetMode="External"/><Relationship Id="rId6" Type="http://schemas.openxmlformats.org/officeDocument/2006/relationships/hyperlink" Target="http://mirror.unhabitat.org/content.asp?cid=10999&amp;catid=592&amp;typeid=79" TargetMode="External"/><Relationship Id="rId5" Type="http://schemas.openxmlformats.org/officeDocument/2006/relationships/hyperlink" Target="http://countryoffice.unfpa.org/thegambia/drive/UNDAF_2012-2016-.pdf" TargetMode="External"/><Relationship Id="rId4" Type="http://schemas.openxmlformats.org/officeDocument/2006/relationships/hyperlink" Target="http://daccess-dds-ny.un.org/doc/UNDOC/GEN/G14/139/01/PDF/G1413901.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7A96446E-6BC9-4A28-BFFA-D85974DB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2016-02-09T13:58:00Z</dcterms:created>
  <dcterms:modified xsi:type="dcterms:W3CDTF">2016-02-09T14:08:00Z</dcterms:modified>
</cp:coreProperties>
</file>