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B70C4E" w:rsidRDefault="00836C11" w:rsidP="002250DD">
      <w:pPr>
        <w:jc w:val="center"/>
        <w:rPr>
          <w:b/>
          <w:sz w:val="48"/>
        </w:rPr>
      </w:pPr>
      <w:r>
        <w:rPr>
          <w:b/>
          <w:sz w:val="48"/>
        </w:rPr>
        <w:t>EGYPT</w:t>
      </w:r>
      <w:r w:rsidR="00341378">
        <w:rPr>
          <w:b/>
          <w:sz w:val="48"/>
        </w:rPr>
        <w:t xml:space="preserve"> </w:t>
      </w:r>
    </w:p>
    <w:p w:rsidR="00FD5F44" w:rsidRPr="00FD5F44" w:rsidRDefault="00FD5F44" w:rsidP="00FD5F44">
      <w:pPr>
        <w:jc w:val="both"/>
        <w:rPr>
          <w:i/>
          <w:sz w:val="24"/>
          <w:szCs w:val="24"/>
        </w:rPr>
      </w:pPr>
      <w:r>
        <w:rPr>
          <w:i/>
          <w:sz w:val="24"/>
          <w:szCs w:val="24"/>
        </w:rPr>
        <w:t xml:space="preserve"> </w:t>
      </w:r>
      <w:r w:rsidRPr="00FD5F44">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FD5F44" w:rsidRPr="00FD5F44" w:rsidRDefault="00FD5F44" w:rsidP="00FD5F44">
      <w:pPr>
        <w:jc w:val="both"/>
        <w:rPr>
          <w:i/>
          <w:sz w:val="24"/>
          <w:szCs w:val="24"/>
        </w:rPr>
      </w:pPr>
      <w:r w:rsidRPr="00FD5F44">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520930" w:rsidRPr="00520930" w:rsidRDefault="00520930" w:rsidP="00986A6C">
      <w:pPr>
        <w:jc w:val="center"/>
        <w:rPr>
          <w:sz w:val="24"/>
          <w:szCs w:val="24"/>
        </w:rPr>
      </w:pPr>
      <w:r w:rsidRPr="00520930">
        <w:rPr>
          <w:sz w:val="24"/>
          <w:szCs w:val="24"/>
        </w:rPr>
        <w:t>Table of Contents</w:t>
      </w:r>
    </w:p>
    <w:tbl>
      <w:tblPr>
        <w:tblStyle w:val="LightShading1"/>
        <w:tblW w:w="9612" w:type="dxa"/>
        <w:tblLook w:val="04A0" w:firstRow="1" w:lastRow="0" w:firstColumn="1" w:lastColumn="0" w:noHBand="0" w:noVBand="1"/>
      </w:tblPr>
      <w:tblGrid>
        <w:gridCol w:w="8748"/>
        <w:gridCol w:w="864"/>
      </w:tblGrid>
      <w:tr w:rsidR="00520930" w:rsidRPr="00BE6A41" w:rsidTr="00AF5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sz w:val="24"/>
                <w:szCs w:val="24"/>
              </w:rPr>
            </w:pPr>
            <w:r w:rsidRPr="00BE6A41">
              <w:rPr>
                <w:sz w:val="24"/>
                <w:szCs w:val="24"/>
              </w:rPr>
              <w:t>Chapter</w:t>
            </w:r>
          </w:p>
        </w:tc>
        <w:tc>
          <w:tcPr>
            <w:tcW w:w="864" w:type="dxa"/>
            <w:vAlign w:val="center"/>
          </w:tcPr>
          <w:p w:rsidR="00520930" w:rsidRPr="00BE6A41" w:rsidRDefault="00520930" w:rsidP="00AF5BD6">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520930" w:rsidRPr="00BE6A41" w:rsidTr="00AF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Summary</w:t>
            </w:r>
          </w:p>
        </w:tc>
        <w:tc>
          <w:tcPr>
            <w:tcW w:w="864" w:type="dxa"/>
            <w:vAlign w:val="center"/>
          </w:tcPr>
          <w:p w:rsidR="00520930" w:rsidRPr="00BE6A41" w:rsidRDefault="00520930" w:rsidP="00AF5BD6">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520930" w:rsidRPr="00BE6A41" w:rsidTr="00AF5BD6">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National Legal Framework relating to Human Rights in Urban Contexts</w:t>
            </w:r>
          </w:p>
        </w:tc>
        <w:tc>
          <w:tcPr>
            <w:tcW w:w="864" w:type="dxa"/>
            <w:vAlign w:val="center"/>
          </w:tcPr>
          <w:p w:rsidR="00520930" w:rsidRPr="00BE6A41" w:rsidRDefault="00520930" w:rsidP="00AF5BD6">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520930" w:rsidRPr="00BE6A41" w:rsidTr="00AF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Government Structures and Institutional Setup</w:t>
            </w:r>
          </w:p>
        </w:tc>
        <w:tc>
          <w:tcPr>
            <w:tcW w:w="864" w:type="dxa"/>
            <w:vAlign w:val="center"/>
          </w:tcPr>
          <w:p w:rsidR="00520930" w:rsidRPr="00BE6A41" w:rsidRDefault="007377B6" w:rsidP="00AF5BD6">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520930" w:rsidRPr="00BE6A41" w:rsidTr="00AF5BD6">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International Conventions</w:t>
            </w:r>
          </w:p>
        </w:tc>
        <w:tc>
          <w:tcPr>
            <w:tcW w:w="864" w:type="dxa"/>
            <w:vAlign w:val="center"/>
          </w:tcPr>
          <w:p w:rsidR="00520930" w:rsidRPr="00BE6A41" w:rsidRDefault="007377B6" w:rsidP="00AF5BD6">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520930" w:rsidRPr="00BE6A41" w:rsidTr="00AF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UN Reviews (UN Country Team, Special Rapporteur Reports, UNDAF and other Delivering as One initiatives, including Human Rights Up Front)</w:t>
            </w:r>
          </w:p>
        </w:tc>
        <w:tc>
          <w:tcPr>
            <w:tcW w:w="864" w:type="dxa"/>
            <w:vAlign w:val="center"/>
          </w:tcPr>
          <w:p w:rsidR="00520930" w:rsidRPr="00BE6A41" w:rsidRDefault="007377B6" w:rsidP="00AF5BD6">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p>
        </w:tc>
      </w:tr>
      <w:tr w:rsidR="00520930" w:rsidRPr="00BE6A41" w:rsidTr="00AF5BD6">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Universal Periodic Review (UPR) and Human Rights Council</w:t>
            </w:r>
          </w:p>
        </w:tc>
        <w:tc>
          <w:tcPr>
            <w:tcW w:w="864" w:type="dxa"/>
            <w:vAlign w:val="center"/>
          </w:tcPr>
          <w:p w:rsidR="00520930" w:rsidRPr="00BE6A41" w:rsidRDefault="007377B6" w:rsidP="00AF5BD6">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r w:rsidR="00520930" w:rsidRPr="00BE6A41" w:rsidTr="00AF5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607B35" w:rsidRDefault="00520930" w:rsidP="00AF5BD6">
            <w:pPr>
              <w:jc w:val="both"/>
              <w:rPr>
                <w:b w:val="0"/>
                <w:sz w:val="24"/>
                <w:szCs w:val="24"/>
                <w:lang w:val="fr-FR"/>
              </w:rPr>
            </w:pPr>
            <w:r w:rsidRPr="00607B35">
              <w:rPr>
                <w:b w:val="0"/>
                <w:sz w:val="24"/>
                <w:szCs w:val="24"/>
                <w:lang w:val="fr-FR"/>
              </w:rPr>
              <w:t xml:space="preserve">UN-Habitat Engagement </w:t>
            </w:r>
            <w:proofErr w:type="spellStart"/>
            <w:r w:rsidRPr="00607B35">
              <w:rPr>
                <w:b w:val="0"/>
                <w:sz w:val="24"/>
                <w:szCs w:val="24"/>
                <w:lang w:val="fr-FR"/>
              </w:rPr>
              <w:t>at</w:t>
            </w:r>
            <w:proofErr w:type="spellEnd"/>
            <w:r w:rsidRPr="00607B35">
              <w:rPr>
                <w:b w:val="0"/>
                <w:sz w:val="24"/>
                <w:szCs w:val="24"/>
                <w:lang w:val="fr-FR"/>
              </w:rPr>
              <w:t xml:space="preserve"> Project </w:t>
            </w:r>
            <w:proofErr w:type="spellStart"/>
            <w:r w:rsidRPr="00607B35">
              <w:rPr>
                <w:b w:val="0"/>
                <w:sz w:val="24"/>
                <w:szCs w:val="24"/>
                <w:lang w:val="fr-FR"/>
              </w:rPr>
              <w:t>Level</w:t>
            </w:r>
            <w:proofErr w:type="spellEnd"/>
          </w:p>
        </w:tc>
        <w:tc>
          <w:tcPr>
            <w:tcW w:w="864" w:type="dxa"/>
            <w:vAlign w:val="center"/>
          </w:tcPr>
          <w:p w:rsidR="00520930" w:rsidRPr="00BE6A41" w:rsidRDefault="007377B6" w:rsidP="00AF5BD6">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520930" w:rsidRPr="00BE6A41" w:rsidTr="00AF5BD6">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AF5BD6">
            <w:pPr>
              <w:jc w:val="both"/>
              <w:rPr>
                <w:b w:val="0"/>
                <w:sz w:val="24"/>
                <w:szCs w:val="24"/>
              </w:rPr>
            </w:pPr>
            <w:r w:rsidRPr="00BE6A41">
              <w:rPr>
                <w:b w:val="0"/>
                <w:sz w:val="24"/>
                <w:szCs w:val="24"/>
              </w:rPr>
              <w:t>Further Information</w:t>
            </w:r>
          </w:p>
        </w:tc>
        <w:tc>
          <w:tcPr>
            <w:tcW w:w="864" w:type="dxa"/>
            <w:vAlign w:val="center"/>
          </w:tcPr>
          <w:p w:rsidR="00520930" w:rsidRPr="00BE6A41" w:rsidRDefault="00520930" w:rsidP="00AF5BD6">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7377B6">
              <w:rPr>
                <w:sz w:val="24"/>
                <w:szCs w:val="24"/>
              </w:rPr>
              <w:t>2</w:t>
            </w:r>
          </w:p>
        </w:tc>
      </w:tr>
    </w:tbl>
    <w:p w:rsidR="00B6404B" w:rsidRDefault="00B6404B" w:rsidP="002250DD">
      <w:pPr>
        <w:jc w:val="center"/>
        <w:rPr>
          <w:b/>
          <w:sz w:val="24"/>
          <w:szCs w:val="24"/>
        </w:rPr>
      </w:pPr>
    </w:p>
    <w:p w:rsidR="00E70BF1" w:rsidRPr="00E70BF1" w:rsidRDefault="00E70BF1" w:rsidP="002250DD">
      <w:pPr>
        <w:jc w:val="center"/>
        <w:rPr>
          <w:b/>
          <w:sz w:val="24"/>
          <w:szCs w:val="24"/>
        </w:rPr>
      </w:pPr>
      <w:r w:rsidRPr="00E70BF1">
        <w:rPr>
          <w:b/>
          <w:sz w:val="24"/>
          <w:szCs w:val="24"/>
        </w:rPr>
        <w:t>Revision History</w:t>
      </w:r>
    </w:p>
    <w:tbl>
      <w:tblPr>
        <w:tblStyle w:val="LightList1"/>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2250DD">
            <w:pPr>
              <w:spacing w:line="276" w:lineRule="auto"/>
              <w:jc w:val="center"/>
            </w:pPr>
            <w:r w:rsidRPr="00E70BF1">
              <w:t>Rev</w:t>
            </w:r>
            <w:r>
              <w:t>i</w:t>
            </w:r>
            <w:r w:rsidRPr="00E70BF1">
              <w:t>sion</w:t>
            </w:r>
          </w:p>
        </w:tc>
        <w:tc>
          <w:tcPr>
            <w:tcW w:w="3081" w:type="dxa"/>
          </w:tcPr>
          <w:p w:rsidR="00E70BF1" w:rsidRPr="00E70BF1" w:rsidRDefault="00E70BF1" w:rsidP="002250DD">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2250DD">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77104" w:rsidRDefault="001356B2" w:rsidP="002250DD">
            <w:pPr>
              <w:spacing w:line="276" w:lineRule="auto"/>
              <w:jc w:val="center"/>
              <w:rPr>
                <w:b w:val="0"/>
                <w:i/>
              </w:rPr>
            </w:pPr>
            <w:r w:rsidRPr="00077104">
              <w:rPr>
                <w:b w:val="0"/>
              </w:rPr>
              <w:t>1</w:t>
            </w:r>
            <w:r w:rsidR="00641134" w:rsidRPr="00077104">
              <w:rPr>
                <w:b w:val="0"/>
                <w:i/>
              </w:rPr>
              <w:t xml:space="preserve"> </w:t>
            </w:r>
          </w:p>
        </w:tc>
        <w:tc>
          <w:tcPr>
            <w:tcW w:w="3081" w:type="dxa"/>
          </w:tcPr>
          <w:p w:rsidR="00E70BF1" w:rsidRPr="00077104" w:rsidRDefault="001356B2" w:rsidP="00B8512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077104">
              <w:t>23/10/2015</w:t>
            </w:r>
            <w:r w:rsidR="00641134" w:rsidRPr="00077104">
              <w:rPr>
                <w:i/>
              </w:rPr>
              <w:t xml:space="preserve"> </w:t>
            </w:r>
          </w:p>
        </w:tc>
        <w:tc>
          <w:tcPr>
            <w:tcW w:w="3081" w:type="dxa"/>
          </w:tcPr>
          <w:p w:rsidR="00E70BF1" w:rsidRPr="00077104" w:rsidRDefault="001356B2" w:rsidP="002250DD">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077104">
              <w:t>SN</w:t>
            </w:r>
            <w:r w:rsidR="00641134" w:rsidRPr="00077104">
              <w:rPr>
                <w:i/>
              </w:rPr>
              <w:t xml:space="preserve"> </w:t>
            </w:r>
          </w:p>
        </w:tc>
      </w:tr>
      <w:tr w:rsidR="00E70BF1"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77104" w:rsidRDefault="001356B2" w:rsidP="002250DD">
            <w:pPr>
              <w:spacing w:line="276" w:lineRule="auto"/>
              <w:jc w:val="center"/>
              <w:rPr>
                <w:b w:val="0"/>
              </w:rPr>
            </w:pPr>
            <w:r w:rsidRPr="00077104">
              <w:rPr>
                <w:b w:val="0"/>
              </w:rPr>
              <w:t>2</w:t>
            </w:r>
          </w:p>
        </w:tc>
        <w:tc>
          <w:tcPr>
            <w:tcW w:w="3081" w:type="dxa"/>
          </w:tcPr>
          <w:p w:rsidR="00E70BF1" w:rsidRPr="00077104" w:rsidRDefault="001356B2" w:rsidP="002250DD">
            <w:pPr>
              <w:spacing w:line="276" w:lineRule="auto"/>
              <w:jc w:val="center"/>
              <w:cnfStyle w:val="000000000000" w:firstRow="0" w:lastRow="0" w:firstColumn="0" w:lastColumn="0" w:oddVBand="0" w:evenVBand="0" w:oddHBand="0" w:evenHBand="0" w:firstRowFirstColumn="0" w:firstRowLastColumn="0" w:lastRowFirstColumn="0" w:lastRowLastColumn="0"/>
            </w:pPr>
            <w:r w:rsidRPr="00077104">
              <w:t>12/11/2015</w:t>
            </w:r>
          </w:p>
        </w:tc>
        <w:tc>
          <w:tcPr>
            <w:tcW w:w="3081" w:type="dxa"/>
          </w:tcPr>
          <w:p w:rsidR="00E70BF1" w:rsidRPr="00077104" w:rsidRDefault="001356B2" w:rsidP="002250DD">
            <w:pPr>
              <w:spacing w:line="276" w:lineRule="auto"/>
              <w:jc w:val="center"/>
              <w:cnfStyle w:val="000000000000" w:firstRow="0" w:lastRow="0" w:firstColumn="0" w:lastColumn="0" w:oddVBand="0" w:evenVBand="0" w:oddHBand="0" w:evenHBand="0" w:firstRowFirstColumn="0" w:firstRowLastColumn="0" w:lastRowFirstColumn="0" w:lastRowLastColumn="0"/>
            </w:pPr>
            <w:r w:rsidRPr="00077104">
              <w:t>SN</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77104" w:rsidRDefault="007E507D" w:rsidP="002250DD">
            <w:pPr>
              <w:spacing w:line="276" w:lineRule="auto"/>
              <w:jc w:val="center"/>
              <w:rPr>
                <w:b w:val="0"/>
              </w:rPr>
            </w:pPr>
            <w:r w:rsidRPr="00077104">
              <w:rPr>
                <w:b w:val="0"/>
              </w:rPr>
              <w:t>3</w:t>
            </w:r>
          </w:p>
        </w:tc>
        <w:tc>
          <w:tcPr>
            <w:tcW w:w="3081" w:type="dxa"/>
          </w:tcPr>
          <w:p w:rsidR="00E70BF1" w:rsidRPr="00077104" w:rsidRDefault="007E507D" w:rsidP="002250DD">
            <w:pPr>
              <w:spacing w:line="276" w:lineRule="auto"/>
              <w:jc w:val="center"/>
              <w:cnfStyle w:val="000000100000" w:firstRow="0" w:lastRow="0" w:firstColumn="0" w:lastColumn="0" w:oddVBand="0" w:evenVBand="0" w:oddHBand="1" w:evenHBand="0" w:firstRowFirstColumn="0" w:firstRowLastColumn="0" w:lastRowFirstColumn="0" w:lastRowLastColumn="0"/>
            </w:pPr>
            <w:r w:rsidRPr="00077104">
              <w:t>09/12/2015</w:t>
            </w:r>
          </w:p>
        </w:tc>
        <w:tc>
          <w:tcPr>
            <w:tcW w:w="3081" w:type="dxa"/>
          </w:tcPr>
          <w:p w:rsidR="00E70BF1" w:rsidRPr="00077104" w:rsidRDefault="007E507D" w:rsidP="002250DD">
            <w:pPr>
              <w:spacing w:line="276" w:lineRule="auto"/>
              <w:jc w:val="center"/>
              <w:cnfStyle w:val="000000100000" w:firstRow="0" w:lastRow="0" w:firstColumn="0" w:lastColumn="0" w:oddVBand="0" w:evenVBand="0" w:oddHBand="1" w:evenHBand="0" w:firstRowFirstColumn="0" w:firstRowLastColumn="0" w:lastRowFirstColumn="0" w:lastRowLastColumn="0"/>
            </w:pPr>
            <w:r w:rsidRPr="00077104">
              <w:t>SN</w:t>
            </w:r>
          </w:p>
        </w:tc>
      </w:tr>
      <w:tr w:rsidR="00077104"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077104" w:rsidRPr="00077104" w:rsidRDefault="00077104" w:rsidP="002250DD">
            <w:pPr>
              <w:jc w:val="center"/>
              <w:rPr>
                <w:b w:val="0"/>
              </w:rPr>
            </w:pPr>
            <w:r w:rsidRPr="00077104">
              <w:rPr>
                <w:b w:val="0"/>
              </w:rPr>
              <w:t>4</w:t>
            </w:r>
          </w:p>
        </w:tc>
        <w:tc>
          <w:tcPr>
            <w:tcW w:w="3081" w:type="dxa"/>
          </w:tcPr>
          <w:p w:rsidR="00077104" w:rsidRPr="00077104" w:rsidRDefault="00077104" w:rsidP="00B6404B">
            <w:pPr>
              <w:jc w:val="center"/>
              <w:cnfStyle w:val="000000000000" w:firstRow="0" w:lastRow="0" w:firstColumn="0" w:lastColumn="0" w:oddVBand="0" w:evenVBand="0" w:oddHBand="0" w:evenHBand="0" w:firstRowFirstColumn="0" w:firstRowLastColumn="0" w:lastRowFirstColumn="0" w:lastRowLastColumn="0"/>
            </w:pPr>
            <w:r>
              <w:t>25/01/201</w:t>
            </w:r>
            <w:r w:rsidR="00B6404B">
              <w:t>6</w:t>
            </w:r>
          </w:p>
        </w:tc>
        <w:tc>
          <w:tcPr>
            <w:tcW w:w="3081" w:type="dxa"/>
          </w:tcPr>
          <w:p w:rsidR="00077104" w:rsidRPr="00077104" w:rsidRDefault="00077104" w:rsidP="002250DD">
            <w:pPr>
              <w:jc w:val="center"/>
              <w:cnfStyle w:val="000000000000" w:firstRow="0" w:lastRow="0" w:firstColumn="0" w:lastColumn="0" w:oddVBand="0" w:evenVBand="0" w:oddHBand="0" w:evenHBand="0" w:firstRowFirstColumn="0" w:firstRowLastColumn="0" w:lastRowFirstColumn="0" w:lastRowLastColumn="0"/>
            </w:pPr>
            <w:r>
              <w:t>SG</w:t>
            </w:r>
          </w:p>
        </w:tc>
      </w:tr>
      <w:tr w:rsidR="00B6404B"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B6404B" w:rsidRPr="00951AE4" w:rsidRDefault="00B6404B" w:rsidP="002250DD">
            <w:pPr>
              <w:jc w:val="center"/>
              <w:rPr>
                <w:b w:val="0"/>
              </w:rPr>
            </w:pPr>
            <w:r w:rsidRPr="00951AE4">
              <w:rPr>
                <w:b w:val="0"/>
              </w:rPr>
              <w:t>5</w:t>
            </w:r>
          </w:p>
        </w:tc>
        <w:tc>
          <w:tcPr>
            <w:tcW w:w="3081" w:type="dxa"/>
          </w:tcPr>
          <w:p w:rsidR="00B6404B" w:rsidRDefault="00B6404B" w:rsidP="002250DD">
            <w:pPr>
              <w:jc w:val="center"/>
              <w:cnfStyle w:val="000000100000" w:firstRow="0" w:lastRow="0" w:firstColumn="0" w:lastColumn="0" w:oddVBand="0" w:evenVBand="0" w:oddHBand="1" w:evenHBand="0" w:firstRowFirstColumn="0" w:firstRowLastColumn="0" w:lastRowFirstColumn="0" w:lastRowLastColumn="0"/>
            </w:pPr>
            <w:r>
              <w:t>10/01/2016</w:t>
            </w:r>
          </w:p>
        </w:tc>
        <w:tc>
          <w:tcPr>
            <w:tcW w:w="3081" w:type="dxa"/>
          </w:tcPr>
          <w:p w:rsidR="00B6404B" w:rsidRDefault="00B6404B" w:rsidP="002250DD">
            <w:pPr>
              <w:jc w:val="center"/>
              <w:cnfStyle w:val="000000100000" w:firstRow="0" w:lastRow="0" w:firstColumn="0" w:lastColumn="0" w:oddVBand="0" w:evenVBand="0" w:oddHBand="1" w:evenHBand="0" w:firstRowFirstColumn="0" w:firstRowLastColumn="0" w:lastRowFirstColumn="0" w:lastRowLastColumn="0"/>
            </w:pPr>
            <w:r>
              <w:t>UN-Habitat Egypt Office</w:t>
            </w:r>
          </w:p>
        </w:tc>
      </w:tr>
    </w:tbl>
    <w:p w:rsidR="00E70BF1" w:rsidRDefault="00E70BF1" w:rsidP="002250DD">
      <w:pPr>
        <w:rPr>
          <w:b/>
        </w:rPr>
      </w:pPr>
      <w:r>
        <w:rPr>
          <w:b/>
        </w:rPr>
        <w:br w:type="page"/>
      </w:r>
    </w:p>
    <w:p w:rsidR="00046EAE" w:rsidRDefault="00707A15" w:rsidP="00046EAE">
      <w:pPr>
        <w:rPr>
          <w:b/>
          <w:sz w:val="32"/>
        </w:rPr>
      </w:pPr>
      <w:r w:rsidRPr="00707A15">
        <w:rPr>
          <w:b/>
          <w:sz w:val="32"/>
        </w:rPr>
        <w:lastRenderedPageBreak/>
        <w:t>Summary</w:t>
      </w:r>
    </w:p>
    <w:p w:rsidR="00187DC0" w:rsidRPr="00187DC0" w:rsidRDefault="00187DC0" w:rsidP="00187DC0">
      <w:pPr>
        <w:jc w:val="both"/>
        <w:rPr>
          <w:rFonts w:cstheme="minorHAnsi"/>
        </w:rPr>
      </w:pPr>
      <w:r w:rsidRPr="00187DC0">
        <w:rPr>
          <w:rFonts w:cstheme="minorHAnsi"/>
        </w:rPr>
        <w:t xml:space="preserve">The Arab Republic of Egypt is governed under its 2014 Constitution which is the fundamental law in the state. The Constitution was passed after a referendum in January 2014. The Constitution provides for fundamental human rights and freedoms, among them, the right to </w:t>
      </w:r>
      <w:r w:rsidR="00FA0756">
        <w:rPr>
          <w:rFonts w:cstheme="minorHAnsi"/>
        </w:rPr>
        <w:t xml:space="preserve">decent, safe and </w:t>
      </w:r>
      <w:r w:rsidRPr="00187DC0">
        <w:rPr>
          <w:rFonts w:cstheme="minorHAnsi"/>
        </w:rPr>
        <w:t>healthy housing. The Constitution also provides for the development of a national housing plan</w:t>
      </w:r>
      <w:r w:rsidR="00E54090" w:rsidRPr="00E54090">
        <w:rPr>
          <w:rFonts w:cstheme="minorHAnsi"/>
          <w:color w:val="000000"/>
        </w:rPr>
        <w:t xml:space="preserve"> </w:t>
      </w:r>
      <w:r w:rsidR="00E54090" w:rsidRPr="00D43686">
        <w:rPr>
          <w:rFonts w:cstheme="minorHAnsi"/>
          <w:color w:val="000000"/>
        </w:rPr>
        <w:t>that upholds environmental particularity, and guarantees the contribution of personal and collaborative initiatives in its implementation</w:t>
      </w:r>
      <w:r w:rsidRPr="00187DC0">
        <w:rPr>
          <w:rFonts w:cstheme="minorHAnsi"/>
        </w:rPr>
        <w:t>.</w:t>
      </w:r>
    </w:p>
    <w:p w:rsidR="004640F1" w:rsidRDefault="00187DC0" w:rsidP="001B14C7">
      <w:pPr>
        <w:jc w:val="both"/>
        <w:rPr>
          <w:rFonts w:cstheme="minorHAnsi"/>
        </w:rPr>
      </w:pPr>
      <w:r>
        <w:rPr>
          <w:rFonts w:cstheme="minorHAnsi"/>
        </w:rPr>
        <w:t xml:space="preserve"> </w:t>
      </w:r>
      <w:r w:rsidR="00272702" w:rsidRPr="00272702">
        <w:rPr>
          <w:rFonts w:cstheme="minorHAnsi"/>
        </w:rPr>
        <w:t>The Ministry of Housing, Utilities and Urban Development is the relevant institution in the implementation of the right to adequate housing in Egypt. Apart from achieving its goal of accelerating development rate in desert, rural and urban areas, it is in charge of formulating housing and urbanisation policies and overseeing their implementation.</w:t>
      </w:r>
    </w:p>
    <w:p w:rsidR="00272702" w:rsidRPr="00272702" w:rsidRDefault="004640F1" w:rsidP="004861B3">
      <w:pPr>
        <w:jc w:val="both"/>
        <w:rPr>
          <w:rFonts w:cstheme="minorHAnsi"/>
        </w:rPr>
      </w:pPr>
      <w:r>
        <w:rPr>
          <w:rFonts w:cstheme="minorHAnsi"/>
        </w:rPr>
        <w:t>Egypt developed a National Urban Development Framework that runs till 2052, and which is expected to make major changes in the country’s urbanization and housing sector. Egypt</w:t>
      </w:r>
      <w:r w:rsidR="00FA0756">
        <w:rPr>
          <w:rFonts w:cstheme="minorHAnsi"/>
        </w:rPr>
        <w:t>’s</w:t>
      </w:r>
      <w:r>
        <w:rPr>
          <w:rFonts w:cstheme="minorHAnsi"/>
        </w:rPr>
        <w:t xml:space="preserve"> </w:t>
      </w:r>
      <w:r w:rsidR="00272702" w:rsidRPr="00272702">
        <w:rPr>
          <w:rFonts w:cstheme="minorHAnsi"/>
          <w:bCs/>
        </w:rPr>
        <w:t xml:space="preserve">National Housing </w:t>
      </w:r>
      <w:r w:rsidR="00FA0756">
        <w:rPr>
          <w:rFonts w:cstheme="minorHAnsi"/>
          <w:bCs/>
        </w:rPr>
        <w:t>Program (NHP) covered the years 2005-2013, whereas t</w:t>
      </w:r>
      <w:r w:rsidR="00272702">
        <w:rPr>
          <w:rFonts w:cstheme="minorHAnsi"/>
          <w:bCs/>
        </w:rPr>
        <w:t xml:space="preserve">he </w:t>
      </w:r>
      <w:r w:rsidR="00FA0756">
        <w:rPr>
          <w:rFonts w:cstheme="minorHAnsi"/>
          <w:bCs/>
        </w:rPr>
        <w:t xml:space="preserve">current </w:t>
      </w:r>
      <w:r w:rsidR="00272702">
        <w:rPr>
          <w:rFonts w:cstheme="minorHAnsi"/>
          <w:bCs/>
        </w:rPr>
        <w:t>S</w:t>
      </w:r>
      <w:r w:rsidR="00272702" w:rsidRPr="00272702">
        <w:rPr>
          <w:rFonts w:cstheme="minorHAnsi"/>
        </w:rPr>
        <w:t>ocial Housing</w:t>
      </w:r>
      <w:r w:rsidR="00FA0756">
        <w:rPr>
          <w:rFonts w:cstheme="minorHAnsi"/>
        </w:rPr>
        <w:t xml:space="preserve"> Program (SHP) covers the years 2013-2017</w:t>
      </w:r>
      <w:r w:rsidR="001B14C7">
        <w:rPr>
          <w:rFonts w:cstheme="minorHAnsi"/>
          <w:bCs/>
        </w:rPr>
        <w:t>. The</w:t>
      </w:r>
      <w:r w:rsidR="00FA0756">
        <w:rPr>
          <w:rFonts w:cstheme="minorHAnsi"/>
          <w:bCs/>
        </w:rPr>
        <w:t xml:space="preserve"> Social Housing Program</w:t>
      </w:r>
      <w:r w:rsidR="001B14C7">
        <w:rPr>
          <w:rFonts w:cstheme="minorHAnsi"/>
          <w:bCs/>
        </w:rPr>
        <w:t xml:space="preserve"> envision</w:t>
      </w:r>
      <w:r w:rsidR="00FA0756">
        <w:rPr>
          <w:rFonts w:cstheme="minorHAnsi"/>
          <w:bCs/>
        </w:rPr>
        <w:t>s</w:t>
      </w:r>
      <w:r w:rsidR="001B14C7">
        <w:rPr>
          <w:rFonts w:cstheme="minorHAnsi"/>
          <w:bCs/>
        </w:rPr>
        <w:t xml:space="preserve"> </w:t>
      </w:r>
      <w:proofErr w:type="gramStart"/>
      <w:r w:rsidR="001B14C7">
        <w:rPr>
          <w:rFonts w:cstheme="minorHAnsi"/>
          <w:bCs/>
        </w:rPr>
        <w:t xml:space="preserve">to </w:t>
      </w:r>
      <w:r w:rsidR="00FA0756">
        <w:rPr>
          <w:rFonts w:cstheme="minorHAnsi"/>
          <w:bCs/>
        </w:rPr>
        <w:t>provide</w:t>
      </w:r>
      <w:proofErr w:type="gramEnd"/>
      <w:r w:rsidR="00FA0756">
        <w:rPr>
          <w:rFonts w:cstheme="minorHAnsi"/>
          <w:bCs/>
        </w:rPr>
        <w:t xml:space="preserve"> low-cost </w:t>
      </w:r>
      <w:r w:rsidR="00272702" w:rsidRPr="00272702">
        <w:rPr>
          <w:rFonts w:cstheme="minorHAnsi"/>
          <w:bCs/>
        </w:rPr>
        <w:t xml:space="preserve">housing </w:t>
      </w:r>
      <w:r w:rsidR="00FA0756">
        <w:rPr>
          <w:rFonts w:cstheme="minorHAnsi"/>
          <w:bCs/>
        </w:rPr>
        <w:t xml:space="preserve">through </w:t>
      </w:r>
      <w:r w:rsidR="00272702" w:rsidRPr="00272702">
        <w:rPr>
          <w:rFonts w:cstheme="minorHAnsi"/>
          <w:bCs/>
        </w:rPr>
        <w:t xml:space="preserve">thousands </w:t>
      </w:r>
      <w:r w:rsidR="001B14C7">
        <w:rPr>
          <w:rFonts w:cstheme="minorHAnsi"/>
          <w:bCs/>
        </w:rPr>
        <w:t xml:space="preserve">of </w:t>
      </w:r>
      <w:r w:rsidR="00272702" w:rsidRPr="00272702">
        <w:rPr>
          <w:rFonts w:cstheme="minorHAnsi"/>
          <w:bCs/>
        </w:rPr>
        <w:t>housing units</w:t>
      </w:r>
      <w:r w:rsidR="00FA0756">
        <w:rPr>
          <w:rFonts w:cstheme="minorHAnsi"/>
          <w:bCs/>
        </w:rPr>
        <w:t xml:space="preserve"> during its implementation period</w:t>
      </w:r>
      <w:r w:rsidR="00272702" w:rsidRPr="00272702">
        <w:rPr>
          <w:rFonts w:cstheme="minorHAnsi"/>
          <w:bCs/>
        </w:rPr>
        <w:t xml:space="preserve">. </w:t>
      </w:r>
      <w:r w:rsidR="001B14C7">
        <w:rPr>
          <w:rFonts w:cstheme="minorHAnsi"/>
          <w:bCs/>
        </w:rPr>
        <w:t xml:space="preserve">  </w:t>
      </w:r>
    </w:p>
    <w:p w:rsidR="00C82B04" w:rsidRDefault="001B14C7" w:rsidP="00187DC0">
      <w:pPr>
        <w:jc w:val="both"/>
        <w:rPr>
          <w:rFonts w:eastAsia="Times New Roman" w:cstheme="minorHAnsi"/>
          <w:color w:val="000000"/>
          <w:lang w:eastAsia="en-AU"/>
        </w:rPr>
      </w:pPr>
      <w:r>
        <w:rPr>
          <w:rFonts w:cstheme="minorHAnsi"/>
        </w:rPr>
        <w:t>Egypt i</w:t>
      </w:r>
      <w:r w:rsidR="00187DC0" w:rsidRPr="00187DC0">
        <w:rPr>
          <w:rFonts w:cstheme="minorHAnsi"/>
        </w:rPr>
        <w:t>s a State Party to the International Covenant on Economic, Social and Cultural Rights, which includes the right to adequate housing as a component of the right to an adequate standard of living.</w:t>
      </w:r>
      <w:r w:rsidR="007B785C">
        <w:rPr>
          <w:rFonts w:cstheme="minorHAnsi"/>
        </w:rPr>
        <w:t xml:space="preserve"> </w:t>
      </w:r>
      <w:r w:rsidR="007B785C">
        <w:rPr>
          <w:rFonts w:eastAsia="Times New Roman" w:cstheme="minorHAnsi"/>
          <w:color w:val="000000"/>
          <w:lang w:eastAsia="en-AU"/>
        </w:rPr>
        <w:t>Egypt has also ratified all of the major interna</w:t>
      </w:r>
      <w:r w:rsidR="00C82B04">
        <w:rPr>
          <w:rFonts w:eastAsia="Times New Roman" w:cstheme="minorHAnsi"/>
          <w:color w:val="000000"/>
          <w:lang w:eastAsia="en-AU"/>
        </w:rPr>
        <w:t>tional human rights conventions.</w:t>
      </w:r>
    </w:p>
    <w:p w:rsidR="00860FA2" w:rsidRDefault="00187DC0" w:rsidP="00EB7175">
      <w:pPr>
        <w:jc w:val="both"/>
        <w:rPr>
          <w:rFonts w:eastAsia="Times New Roman" w:cstheme="minorHAnsi"/>
          <w:color w:val="000000"/>
          <w:lang w:eastAsia="en-AU"/>
        </w:rPr>
      </w:pPr>
      <w:r w:rsidRPr="00187DC0">
        <w:rPr>
          <w:rFonts w:cstheme="minorHAnsi"/>
        </w:rPr>
        <w:t xml:space="preserve">United Nations </w:t>
      </w:r>
      <w:proofErr w:type="gramStart"/>
      <w:r w:rsidRPr="00187DC0">
        <w:rPr>
          <w:rFonts w:cstheme="minorHAnsi"/>
        </w:rPr>
        <w:t>review</w:t>
      </w:r>
      <w:proofErr w:type="gramEnd"/>
      <w:r w:rsidRPr="00187DC0">
        <w:rPr>
          <w:rFonts w:cstheme="minorHAnsi"/>
        </w:rPr>
        <w:t xml:space="preserve"> mechanisms have generally given positive feedback on the continual pursuit of improved housing, although have noted the </w:t>
      </w:r>
      <w:r w:rsidR="00C82B04">
        <w:rPr>
          <w:rFonts w:eastAsia="Times New Roman" w:cstheme="minorHAnsi"/>
          <w:color w:val="000000"/>
          <w:lang w:eastAsia="en-AU"/>
        </w:rPr>
        <w:t>shortage of adequate housing and the issue of homelessness.</w:t>
      </w:r>
      <w:r w:rsidRPr="00187DC0">
        <w:rPr>
          <w:rFonts w:cstheme="minorHAnsi"/>
        </w:rPr>
        <w:t xml:space="preserve"> UN-Habitat has wor</w:t>
      </w:r>
      <w:r w:rsidR="001B14C7">
        <w:rPr>
          <w:rFonts w:cstheme="minorHAnsi"/>
        </w:rPr>
        <w:t>ked on a number of projects in Egypt</w:t>
      </w:r>
      <w:r w:rsidR="00EB7175">
        <w:rPr>
          <w:rFonts w:cstheme="minorHAnsi"/>
        </w:rPr>
        <w:t xml:space="preserve"> focusing on a wide range of interventions. For example,</w:t>
      </w:r>
      <w:r w:rsidR="00FA0756">
        <w:rPr>
          <w:rFonts w:cstheme="minorHAnsi"/>
        </w:rPr>
        <w:t xml:space="preserve"> </w:t>
      </w:r>
      <w:r w:rsidR="00EB7175">
        <w:rPr>
          <w:noProof/>
        </w:rPr>
        <w:t>UN-Habitat ha</w:t>
      </w:r>
      <w:r w:rsidR="00FA0756">
        <w:rPr>
          <w:noProof/>
        </w:rPr>
        <w:t>s</w:t>
      </w:r>
      <w:r w:rsidR="00EB7175">
        <w:rPr>
          <w:noProof/>
        </w:rPr>
        <w:t xml:space="preserve"> recently supported the Egyptian government in the drafting of the Egyptian National Housing Strategy with the main objective to </w:t>
      </w:r>
      <w:r w:rsidR="00EB7175" w:rsidRPr="0078784E">
        <w:rPr>
          <w:noProof/>
          <w:lang w:val="en-GB"/>
        </w:rPr>
        <w:t>“Enable every citizen to realize his or her right to dwell and pursue a decent livelihood in a stable, secure, and well-served environment, without distinction as to social or income categories, and in particular ensure honourable housing for those categories that are not able to house themselves.”</w:t>
      </w:r>
    </w:p>
    <w:p w:rsidR="00860FA2" w:rsidRDefault="00860FA2" w:rsidP="00046EAE">
      <w:pPr>
        <w:jc w:val="both"/>
        <w:rPr>
          <w:rFonts w:eastAsia="Times New Roman" w:cstheme="minorHAnsi"/>
          <w:color w:val="000000"/>
          <w:lang w:eastAsia="en-AU"/>
        </w:rPr>
      </w:pPr>
    </w:p>
    <w:p w:rsidR="0080312B" w:rsidRDefault="0080312B" w:rsidP="00046EAE">
      <w:pPr>
        <w:jc w:val="both"/>
        <w:rPr>
          <w:b/>
        </w:rPr>
      </w:pPr>
      <w:r>
        <w:rPr>
          <w:b/>
        </w:rPr>
        <w:br w:type="page"/>
      </w:r>
    </w:p>
    <w:p w:rsidR="002E7D99" w:rsidRPr="00437199" w:rsidRDefault="0080312B" w:rsidP="002250DD">
      <w:pPr>
        <w:rPr>
          <w:b/>
          <w:sz w:val="28"/>
        </w:rPr>
      </w:pPr>
      <w:r w:rsidRPr="00437199">
        <w:rPr>
          <w:b/>
          <w:sz w:val="28"/>
        </w:rPr>
        <w:lastRenderedPageBreak/>
        <w:t>Legal Framework</w:t>
      </w:r>
    </w:p>
    <w:p w:rsidR="00437199" w:rsidRDefault="0080312B" w:rsidP="002250DD">
      <w:pPr>
        <w:rPr>
          <w:b/>
          <w:i/>
        </w:rPr>
      </w:pPr>
      <w:r w:rsidRPr="00437199">
        <w:rPr>
          <w:b/>
          <w:i/>
        </w:rPr>
        <w:t>Constitution</w:t>
      </w:r>
      <w:r w:rsidR="00BF207E">
        <w:rPr>
          <w:rStyle w:val="FootnoteReference"/>
          <w:b/>
          <w:i/>
        </w:rPr>
        <w:footnoteReference w:id="1"/>
      </w:r>
    </w:p>
    <w:p w:rsidR="00187DC0" w:rsidRDefault="001356B2" w:rsidP="00D43686">
      <w:pPr>
        <w:pStyle w:val="NormalWeb"/>
        <w:spacing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Arab Republic of Egypt is</w:t>
      </w:r>
      <w:r w:rsidR="00187DC0">
        <w:rPr>
          <w:rFonts w:asciiTheme="minorHAnsi" w:hAnsiTheme="minorHAnsi" w:cstheme="minorHAnsi"/>
          <w:color w:val="000000"/>
          <w:sz w:val="22"/>
          <w:szCs w:val="22"/>
        </w:rPr>
        <w:t xml:space="preserve"> governed under its 2014 Constitution which is the fundamental law in the state. The Constitution was passed after a referendum in January 2014. The Constitution provides for fundamental human rights and freedoms, among them, the right to</w:t>
      </w:r>
      <w:r>
        <w:rPr>
          <w:rFonts w:asciiTheme="minorHAnsi" w:hAnsiTheme="minorHAnsi" w:cstheme="minorHAnsi"/>
          <w:color w:val="000000"/>
          <w:sz w:val="22"/>
          <w:szCs w:val="22"/>
        </w:rPr>
        <w:t xml:space="preserve"> decent</w:t>
      </w:r>
      <w:r w:rsidR="004729C3">
        <w:rPr>
          <w:rFonts w:asciiTheme="minorHAnsi" w:hAnsiTheme="minorHAnsi" w:cstheme="minorHAnsi"/>
          <w:color w:val="000000"/>
          <w:sz w:val="22"/>
          <w:szCs w:val="22"/>
        </w:rPr>
        <w:t>, safe and healthy</w:t>
      </w:r>
      <w:r>
        <w:rPr>
          <w:rFonts w:asciiTheme="minorHAnsi" w:hAnsiTheme="minorHAnsi" w:cstheme="minorHAnsi"/>
          <w:color w:val="000000"/>
          <w:sz w:val="22"/>
          <w:szCs w:val="22"/>
        </w:rPr>
        <w:t xml:space="preserve"> housing. </w:t>
      </w:r>
    </w:p>
    <w:p w:rsidR="00D43686" w:rsidRDefault="00077104" w:rsidP="00D43686">
      <w:pPr>
        <w:pStyle w:val="NormalWeb"/>
        <w:spacing w:after="120" w:afterAutospacing="0" w:line="276" w:lineRule="auto"/>
        <w:jc w:val="both"/>
        <w:rPr>
          <w:rFonts w:asciiTheme="minorHAnsi" w:hAnsiTheme="minorHAnsi" w:cstheme="minorHAnsi"/>
          <w:color w:val="000000"/>
          <w:sz w:val="22"/>
          <w:szCs w:val="22"/>
        </w:rPr>
      </w:pPr>
      <w:r w:rsidDel="00077104">
        <w:rPr>
          <w:rFonts w:asciiTheme="minorHAnsi" w:hAnsiTheme="minorHAnsi" w:cstheme="minorHAnsi"/>
          <w:color w:val="000000"/>
          <w:sz w:val="22"/>
          <w:szCs w:val="22"/>
        </w:rPr>
        <w:t xml:space="preserve"> </w:t>
      </w:r>
      <w:r w:rsidR="00D43686">
        <w:rPr>
          <w:rFonts w:asciiTheme="minorHAnsi" w:hAnsiTheme="minorHAnsi" w:cstheme="minorHAnsi"/>
          <w:color w:val="000000"/>
          <w:sz w:val="22"/>
          <w:szCs w:val="22"/>
        </w:rPr>
        <w:t>‘</w:t>
      </w:r>
      <w:r w:rsidR="00D43686" w:rsidRPr="00D43686">
        <w:rPr>
          <w:rFonts w:asciiTheme="minorHAnsi" w:hAnsiTheme="minorHAnsi" w:cstheme="minorHAnsi"/>
          <w:color w:val="000000"/>
          <w:sz w:val="22"/>
          <w:szCs w:val="22"/>
        </w:rPr>
        <w:t xml:space="preserve">Article 41: </w:t>
      </w:r>
      <w:r w:rsidR="00D43686">
        <w:rPr>
          <w:rFonts w:asciiTheme="minorHAnsi" w:hAnsiTheme="minorHAnsi" w:cstheme="minorHAnsi"/>
          <w:color w:val="000000"/>
          <w:sz w:val="22"/>
          <w:szCs w:val="22"/>
        </w:rPr>
        <w:t>Housing</w:t>
      </w:r>
    </w:p>
    <w:p w:rsidR="00697C43" w:rsidRDefault="00D43686" w:rsidP="00D43686">
      <w:pPr>
        <w:pStyle w:val="NormalWeb"/>
        <w:spacing w:after="120" w:afterAutospacing="0" w:line="276" w:lineRule="auto"/>
        <w:jc w:val="both"/>
        <w:rPr>
          <w:rFonts w:asciiTheme="minorHAnsi" w:hAnsiTheme="minorHAnsi" w:cstheme="minorHAnsi"/>
          <w:color w:val="000000"/>
          <w:sz w:val="22"/>
          <w:szCs w:val="22"/>
        </w:rPr>
      </w:pPr>
      <w:r w:rsidRPr="00D43686">
        <w:rPr>
          <w:rFonts w:asciiTheme="minorHAnsi" w:hAnsiTheme="minorHAnsi" w:cstheme="minorHAnsi"/>
          <w:color w:val="000000"/>
          <w:sz w:val="22"/>
          <w:szCs w:val="22"/>
        </w:rPr>
        <w:t>The state commits to the implementation of a housing program that aims at achieving balance between population growth rates and the resources available, maximizing investment in human energy, and improving its features, within the framework of achieving sustainable development.</w:t>
      </w:r>
      <w:r>
        <w:rPr>
          <w:rFonts w:asciiTheme="minorHAnsi" w:hAnsiTheme="minorHAnsi" w:cstheme="minorHAnsi"/>
          <w:color w:val="000000"/>
          <w:sz w:val="22"/>
          <w:szCs w:val="22"/>
        </w:rPr>
        <w:t>’</w:t>
      </w:r>
    </w:p>
    <w:p w:rsidR="00D43686" w:rsidRDefault="00D43686" w:rsidP="00D43686">
      <w:pPr>
        <w:pStyle w:val="NormalWeb"/>
        <w:spacing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D43686">
        <w:rPr>
          <w:rFonts w:asciiTheme="minorHAnsi" w:hAnsiTheme="minorHAnsi" w:cstheme="minorHAnsi"/>
          <w:color w:val="000000"/>
          <w:sz w:val="22"/>
          <w:szCs w:val="22"/>
        </w:rPr>
        <w:t>Article 78: Housing</w:t>
      </w:r>
    </w:p>
    <w:p w:rsidR="00D43686" w:rsidRDefault="00D43686" w:rsidP="00D43686">
      <w:pPr>
        <w:pStyle w:val="NormalWeb"/>
        <w:spacing w:after="120" w:afterAutospacing="0" w:line="276" w:lineRule="auto"/>
        <w:jc w:val="both"/>
        <w:rPr>
          <w:rFonts w:asciiTheme="minorHAnsi" w:hAnsiTheme="minorHAnsi" w:cstheme="minorHAnsi"/>
          <w:color w:val="000000"/>
          <w:sz w:val="22"/>
          <w:szCs w:val="22"/>
        </w:rPr>
      </w:pPr>
      <w:r w:rsidRPr="00D43686">
        <w:rPr>
          <w:rFonts w:asciiTheme="minorHAnsi" w:hAnsiTheme="minorHAnsi" w:cstheme="minorHAnsi"/>
          <w:color w:val="000000"/>
          <w:sz w:val="22"/>
          <w:szCs w:val="22"/>
        </w:rPr>
        <w:t xml:space="preserve">The state guarantees citizens the right to decent, safe and healthy housing, in a way that preserves human dignity and achieves social justice. </w:t>
      </w:r>
    </w:p>
    <w:p w:rsidR="00D43686" w:rsidRDefault="00D43686" w:rsidP="00D43686">
      <w:pPr>
        <w:pStyle w:val="NormalWeb"/>
        <w:spacing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Pr="00D43686">
        <w:rPr>
          <w:rFonts w:asciiTheme="minorHAnsi" w:hAnsiTheme="minorHAnsi" w:cstheme="minorHAnsi"/>
          <w:color w:val="000000"/>
          <w:sz w:val="22"/>
          <w:szCs w:val="22"/>
        </w:rPr>
        <w:t xml:space="preserve">he state shall draft a national housing plan that upholds environmental particularity, and guarantees the contribution of personal and collaborative initiatives in its implementation. The state shall also regulate the use of state lands and provide them with basic facilities, as part of a comprehensive urban planning framework for cities and villages and a population distribution strategy. This must be done in a way that serves the public interest, improves the quality of life for citizens and preserves the rights of future generations. </w:t>
      </w:r>
    </w:p>
    <w:p w:rsidR="00D43686" w:rsidRDefault="00D43686" w:rsidP="00D43686">
      <w:pPr>
        <w:pStyle w:val="NormalWeb"/>
        <w:spacing w:after="120" w:afterAutospacing="0" w:line="276" w:lineRule="auto"/>
        <w:jc w:val="both"/>
        <w:rPr>
          <w:rFonts w:asciiTheme="minorHAnsi" w:hAnsiTheme="minorHAnsi" w:cstheme="minorHAnsi"/>
          <w:color w:val="000000"/>
          <w:sz w:val="22"/>
          <w:szCs w:val="22"/>
        </w:rPr>
      </w:pPr>
      <w:r w:rsidRPr="00D43686">
        <w:rPr>
          <w:rFonts w:asciiTheme="minorHAnsi" w:hAnsiTheme="minorHAnsi" w:cstheme="minorHAnsi"/>
          <w:color w:val="000000"/>
          <w:sz w:val="22"/>
          <w:szCs w:val="22"/>
        </w:rPr>
        <w:t>The state shall draft a comprehensive, national plan to address the problem of informal areas that includes providing infrastructure and facilities and improving quality of life and public health. The state shall also guarantee the provision of necessary resources to implement the plan within a specified timeframe.</w:t>
      </w:r>
      <w:r>
        <w:rPr>
          <w:rFonts w:asciiTheme="minorHAnsi" w:hAnsiTheme="minorHAnsi" w:cstheme="minorHAnsi"/>
          <w:color w:val="000000"/>
          <w:sz w:val="22"/>
          <w:szCs w:val="22"/>
        </w:rPr>
        <w:t>’</w:t>
      </w:r>
    </w:p>
    <w:p w:rsidR="00C82B04" w:rsidRDefault="00C82B04" w:rsidP="00D43686">
      <w:pPr>
        <w:pStyle w:val="NormalWeb"/>
        <w:spacing w:after="120" w:afterAutospacing="0" w:line="276" w:lineRule="auto"/>
        <w:jc w:val="both"/>
        <w:rPr>
          <w:rFonts w:asciiTheme="minorHAnsi" w:hAnsiTheme="minorHAnsi" w:cstheme="minorHAnsi"/>
          <w:color w:val="000000"/>
          <w:sz w:val="22"/>
          <w:szCs w:val="22"/>
        </w:rPr>
      </w:pPr>
    </w:p>
    <w:p w:rsidR="002E7D99" w:rsidRPr="00437199" w:rsidRDefault="00077104" w:rsidP="00825851">
      <w:pPr>
        <w:jc w:val="both"/>
        <w:rPr>
          <w:b/>
          <w:sz w:val="28"/>
        </w:rPr>
      </w:pPr>
      <w:r w:rsidDel="00077104">
        <w:rPr>
          <w:rFonts w:cstheme="minorHAnsi"/>
          <w:color w:val="000000"/>
        </w:rPr>
        <w:t xml:space="preserve"> </w:t>
      </w:r>
      <w:r w:rsidR="002E7D99" w:rsidRPr="00437199">
        <w:rPr>
          <w:b/>
          <w:sz w:val="28"/>
        </w:rPr>
        <w:t>Government</w:t>
      </w:r>
    </w:p>
    <w:p w:rsidR="001F4004" w:rsidRDefault="0080312B" w:rsidP="00D43686">
      <w:pPr>
        <w:rPr>
          <w:b/>
          <w:i/>
        </w:rPr>
      </w:pPr>
      <w:r w:rsidRPr="00437199">
        <w:rPr>
          <w:b/>
          <w:i/>
        </w:rPr>
        <w:t xml:space="preserve">Political System </w:t>
      </w:r>
      <w:r w:rsidR="00D43686">
        <w:rPr>
          <w:b/>
          <w:i/>
        </w:rPr>
        <w:t xml:space="preserve"> </w:t>
      </w:r>
    </w:p>
    <w:p w:rsidR="00C714AD" w:rsidRDefault="00187DC0" w:rsidP="00272702">
      <w:pPr>
        <w:jc w:val="both"/>
        <w:rPr>
          <w:rFonts w:cstheme="minorHAnsi"/>
        </w:rPr>
      </w:pPr>
      <w:r>
        <w:rPr>
          <w:rFonts w:cstheme="minorHAnsi"/>
        </w:rPr>
        <w:t>Egypt has a semi-presidential system of government</w:t>
      </w:r>
      <w:r w:rsidR="00272702">
        <w:rPr>
          <w:rFonts w:cstheme="minorHAnsi"/>
        </w:rPr>
        <w:t>. In 2011, during the Egyptian Revolution, President Hosni Mubarak resigned. After his resignation, the Supreme Council of the Armed Forces assumed executive power and suspended the Constitution in 2012.</w:t>
      </w:r>
      <w:r w:rsidR="00FD5F44">
        <w:rPr>
          <w:rFonts w:cstheme="minorHAnsi"/>
        </w:rPr>
        <w:t xml:space="preserve"> </w:t>
      </w:r>
      <w:r w:rsidR="00F231AD">
        <w:rPr>
          <w:rFonts w:cstheme="minorHAnsi"/>
        </w:rPr>
        <w:t>The same year</w:t>
      </w:r>
      <w:r w:rsidR="004232A3">
        <w:rPr>
          <w:rFonts w:cstheme="minorHAnsi"/>
        </w:rPr>
        <w:t>, Egypt elected its</w:t>
      </w:r>
      <w:r w:rsidR="00FD5F44">
        <w:rPr>
          <w:rFonts w:cstheme="minorHAnsi"/>
        </w:rPr>
        <w:t xml:space="preserve"> </w:t>
      </w:r>
      <w:r w:rsidR="004232A3">
        <w:rPr>
          <w:rFonts w:cstheme="minorHAnsi"/>
        </w:rPr>
        <w:lastRenderedPageBreak/>
        <w:t xml:space="preserve">fifth President, Mohamed </w:t>
      </w:r>
      <w:proofErr w:type="spellStart"/>
      <w:r w:rsidR="004232A3">
        <w:rPr>
          <w:rFonts w:cstheme="minorHAnsi"/>
        </w:rPr>
        <w:t>Morsi</w:t>
      </w:r>
      <w:proofErr w:type="spellEnd"/>
      <w:r w:rsidR="00F231AD">
        <w:rPr>
          <w:rFonts w:cstheme="minorHAnsi"/>
        </w:rPr>
        <w:t>.</w:t>
      </w:r>
      <w:r w:rsidR="004232A3">
        <w:rPr>
          <w:rFonts w:cstheme="minorHAnsi"/>
        </w:rPr>
        <w:t xml:space="preserve"> </w:t>
      </w:r>
      <w:r w:rsidR="00F231AD">
        <w:rPr>
          <w:rFonts w:cstheme="minorHAnsi"/>
        </w:rPr>
        <w:t>A</w:t>
      </w:r>
      <w:r w:rsidR="004232A3">
        <w:rPr>
          <w:rFonts w:cstheme="minorHAnsi"/>
        </w:rPr>
        <w:t>rmy chief general Abdel Fattah el-</w:t>
      </w:r>
      <w:proofErr w:type="spellStart"/>
      <w:r w:rsidR="004232A3">
        <w:rPr>
          <w:rFonts w:cstheme="minorHAnsi"/>
        </w:rPr>
        <w:t>Sisi</w:t>
      </w:r>
      <w:proofErr w:type="spellEnd"/>
      <w:r w:rsidR="004232A3">
        <w:rPr>
          <w:rFonts w:cstheme="minorHAnsi"/>
        </w:rPr>
        <w:t xml:space="preserve"> deposed Mohamed </w:t>
      </w:r>
      <w:proofErr w:type="spellStart"/>
      <w:r w:rsidR="004232A3">
        <w:rPr>
          <w:rFonts w:cstheme="minorHAnsi"/>
        </w:rPr>
        <w:t>Morsi</w:t>
      </w:r>
      <w:proofErr w:type="spellEnd"/>
      <w:r w:rsidR="004232A3">
        <w:rPr>
          <w:rFonts w:cstheme="minorHAnsi"/>
        </w:rPr>
        <w:t xml:space="preserve"> and was elected the sixth President of Egypt</w:t>
      </w:r>
      <w:r w:rsidR="00272702">
        <w:rPr>
          <w:rFonts w:cstheme="minorHAnsi"/>
        </w:rPr>
        <w:t xml:space="preserve"> in 2014.</w:t>
      </w:r>
      <w:r>
        <w:rPr>
          <w:rFonts w:cstheme="minorHAnsi"/>
        </w:rPr>
        <w:t xml:space="preserve"> </w:t>
      </w:r>
    </w:p>
    <w:p w:rsidR="004232A3" w:rsidRDefault="00C714AD" w:rsidP="004232A3">
      <w:pPr>
        <w:jc w:val="both"/>
        <w:rPr>
          <w:b/>
          <w:u w:val="single"/>
        </w:rPr>
      </w:pPr>
      <w:r w:rsidRPr="00272702">
        <w:rPr>
          <w:rFonts w:cstheme="minorHAnsi"/>
          <w:b/>
          <w:i/>
          <w:u w:val="single"/>
        </w:rPr>
        <w:t>Ministry of Housing, Utilities and Urban Development</w:t>
      </w:r>
      <w:r w:rsidR="00272702" w:rsidRPr="00272702">
        <w:rPr>
          <w:rStyle w:val="FootnoteReference"/>
          <w:rFonts w:cstheme="minorHAnsi"/>
          <w:b/>
          <w:i/>
          <w:u w:val="single"/>
        </w:rPr>
        <w:footnoteReference w:id="2"/>
      </w:r>
      <w:r w:rsidRPr="00272702">
        <w:rPr>
          <w:rFonts w:cstheme="minorHAnsi"/>
          <w:b/>
          <w:i/>
          <w:u w:val="single"/>
        </w:rPr>
        <w:t> </w:t>
      </w:r>
    </w:p>
    <w:p w:rsidR="00437199" w:rsidRPr="00B6404B" w:rsidRDefault="00272702" w:rsidP="00951AE4">
      <w:pPr>
        <w:pStyle w:val="CommentText"/>
        <w:spacing w:line="276" w:lineRule="auto"/>
        <w:jc w:val="both"/>
        <w:rPr>
          <w:b/>
          <w:u w:val="single"/>
        </w:rPr>
      </w:pPr>
      <w:r w:rsidRPr="00951AE4">
        <w:rPr>
          <w:rFonts w:cstheme="minorHAnsi"/>
          <w:sz w:val="22"/>
        </w:rPr>
        <w:t xml:space="preserve">The Ministry of Housing, Utilities and Urban Development </w:t>
      </w:r>
      <w:r w:rsidR="004729C3">
        <w:rPr>
          <w:rFonts w:cstheme="minorHAnsi"/>
          <w:sz w:val="22"/>
        </w:rPr>
        <w:t xml:space="preserve">(MHUDD) </w:t>
      </w:r>
      <w:r w:rsidRPr="00951AE4">
        <w:rPr>
          <w:rFonts w:cstheme="minorHAnsi"/>
          <w:sz w:val="22"/>
        </w:rPr>
        <w:t>is the relevant institution in the implementation of the right to adequate housing in Egypt. Apart from achieving its goal of accelerating development rate in desert, rural and urban areas, it is in charge of formulating housing and urbanisation policies and overseeing their implementation.</w:t>
      </w:r>
      <w:r w:rsidR="004861B3" w:rsidRPr="00951AE4">
        <w:rPr>
          <w:noProof/>
          <w:sz w:val="22"/>
        </w:rPr>
        <w:t xml:space="preserve"> Drafting </w:t>
      </w:r>
      <w:r w:rsidR="004861B3" w:rsidRPr="00951AE4">
        <w:rPr>
          <w:sz w:val="22"/>
        </w:rPr>
        <w:t xml:space="preserve">housing </w:t>
      </w:r>
      <w:r w:rsidR="004861B3" w:rsidRPr="00951AE4">
        <w:rPr>
          <w:noProof/>
          <w:sz w:val="22"/>
        </w:rPr>
        <w:t>and urban policies</w:t>
      </w:r>
      <w:r w:rsidR="004861B3" w:rsidRPr="00951AE4">
        <w:rPr>
          <w:sz w:val="22"/>
        </w:rPr>
        <w:t xml:space="preserve">, </w:t>
      </w:r>
      <w:r w:rsidR="004861B3" w:rsidRPr="00951AE4">
        <w:rPr>
          <w:noProof/>
          <w:sz w:val="22"/>
        </w:rPr>
        <w:t xml:space="preserve">the </w:t>
      </w:r>
      <w:r w:rsidR="004861B3" w:rsidRPr="00951AE4">
        <w:rPr>
          <w:sz w:val="22"/>
        </w:rPr>
        <w:t xml:space="preserve">study and preparation of plans and programs for urban development, and coordination between </w:t>
      </w:r>
      <w:r w:rsidR="004861B3" w:rsidRPr="00951AE4">
        <w:rPr>
          <w:noProof/>
          <w:sz w:val="22"/>
        </w:rPr>
        <w:t xml:space="preserve">plans </w:t>
      </w:r>
      <w:r w:rsidR="004861B3" w:rsidRPr="00951AE4">
        <w:rPr>
          <w:sz w:val="22"/>
        </w:rPr>
        <w:t xml:space="preserve">and production and services programs under </w:t>
      </w:r>
      <w:r w:rsidR="004861B3" w:rsidRPr="00951AE4">
        <w:rPr>
          <w:noProof/>
          <w:sz w:val="22"/>
        </w:rPr>
        <w:t>the national plan of the state are all under the  mandate of MHUDD. Additionally, MHUUD supervises</w:t>
      </w:r>
      <w:r w:rsidR="004861B3" w:rsidRPr="00951AE4">
        <w:rPr>
          <w:sz w:val="22"/>
        </w:rPr>
        <w:t xml:space="preserve"> the planning </w:t>
      </w:r>
      <w:proofErr w:type="gramStart"/>
      <w:r w:rsidR="004861B3" w:rsidRPr="00951AE4">
        <w:rPr>
          <w:sz w:val="22"/>
        </w:rPr>
        <w:t>of  towns</w:t>
      </w:r>
      <w:proofErr w:type="gramEnd"/>
      <w:r w:rsidR="004861B3" w:rsidRPr="00951AE4">
        <w:rPr>
          <w:sz w:val="22"/>
        </w:rPr>
        <w:t xml:space="preserve"> and villages as well as housing projects of various kinds and levels </w:t>
      </w:r>
      <w:r w:rsidR="004861B3" w:rsidRPr="00951AE4">
        <w:rPr>
          <w:noProof/>
          <w:sz w:val="22"/>
        </w:rPr>
        <w:t>i</w:t>
      </w:r>
      <w:r w:rsidR="004861B3" w:rsidRPr="00951AE4">
        <w:rPr>
          <w:sz w:val="22"/>
        </w:rPr>
        <w:t>n accordance with the general policy of the State</w:t>
      </w:r>
      <w:r w:rsidR="004861B3" w:rsidRPr="00951AE4">
        <w:rPr>
          <w:noProof/>
          <w:sz w:val="22"/>
        </w:rPr>
        <w:t>.</w:t>
      </w:r>
    </w:p>
    <w:p w:rsidR="00D43686" w:rsidRPr="00272702" w:rsidRDefault="00D43686" w:rsidP="00D43686">
      <w:pPr>
        <w:jc w:val="both"/>
        <w:rPr>
          <w:rFonts w:cstheme="minorHAnsi"/>
          <w:b/>
          <w:i/>
          <w:u w:val="single"/>
        </w:rPr>
      </w:pPr>
      <w:r w:rsidRPr="00272702">
        <w:rPr>
          <w:rFonts w:cstheme="minorHAnsi"/>
          <w:b/>
          <w:i/>
          <w:u w:val="single"/>
        </w:rPr>
        <w:t xml:space="preserve">The National Housing </w:t>
      </w:r>
      <w:r w:rsidR="004729C3">
        <w:rPr>
          <w:rFonts w:cstheme="minorHAnsi"/>
          <w:b/>
          <w:i/>
          <w:u w:val="single"/>
        </w:rPr>
        <w:t>Program</w:t>
      </w:r>
    </w:p>
    <w:p w:rsidR="00D43686" w:rsidRPr="00D43686" w:rsidRDefault="00F16AB2" w:rsidP="00053B8F">
      <w:pPr>
        <w:jc w:val="both"/>
        <w:rPr>
          <w:rFonts w:cstheme="minorHAnsi"/>
          <w:bCs/>
        </w:rPr>
      </w:pPr>
      <w:r w:rsidRPr="008372F8">
        <w:rPr>
          <w:lang w:val="en-GB"/>
        </w:rPr>
        <w:t>In 2005 the government of Egypt launched an initiative called the National Housing Program (NHP) which aimed to construct 500,000 subsidized housing units over six years</w:t>
      </w:r>
      <w:r>
        <w:rPr>
          <w:noProof/>
          <w:lang w:val="en-GB"/>
        </w:rPr>
        <w:t xml:space="preserve"> spread throughout the country</w:t>
      </w:r>
      <w:r w:rsidRPr="00D43686">
        <w:rPr>
          <w:rFonts w:cstheme="minorHAnsi"/>
          <w:bCs/>
        </w:rPr>
        <w:t xml:space="preserve"> </w:t>
      </w:r>
      <w:r w:rsidR="00D43686" w:rsidRPr="00D43686">
        <w:rPr>
          <w:rFonts w:cstheme="minorHAnsi"/>
          <w:bCs/>
        </w:rPr>
        <w:t xml:space="preserve">The National Housing </w:t>
      </w:r>
      <w:r w:rsidR="004729C3">
        <w:rPr>
          <w:rFonts w:cstheme="minorHAnsi"/>
          <w:bCs/>
        </w:rPr>
        <w:t xml:space="preserve">Program </w:t>
      </w:r>
      <w:r w:rsidR="00D43686" w:rsidRPr="00D43686">
        <w:rPr>
          <w:rFonts w:cstheme="minorHAnsi"/>
          <w:bCs/>
        </w:rPr>
        <w:t xml:space="preserve">is considered to be one of the most important projects to overcome the problem of </w:t>
      </w:r>
      <w:r w:rsidR="004232A3">
        <w:rPr>
          <w:rFonts w:cstheme="minorHAnsi"/>
          <w:bCs/>
        </w:rPr>
        <w:t xml:space="preserve">inadequate </w:t>
      </w:r>
      <w:r w:rsidR="00D43686" w:rsidRPr="00D43686">
        <w:rPr>
          <w:rFonts w:cstheme="minorHAnsi"/>
          <w:bCs/>
        </w:rPr>
        <w:t>housing</w:t>
      </w:r>
      <w:r w:rsidR="004232A3">
        <w:rPr>
          <w:rFonts w:cstheme="minorHAnsi"/>
          <w:bCs/>
        </w:rPr>
        <w:t xml:space="preserve">. The </w:t>
      </w:r>
      <w:r w:rsidR="004729C3">
        <w:rPr>
          <w:rFonts w:cstheme="minorHAnsi"/>
          <w:bCs/>
        </w:rPr>
        <w:t xml:space="preserve">program </w:t>
      </w:r>
      <w:r w:rsidR="00053B8F">
        <w:rPr>
          <w:rFonts w:cstheme="minorHAnsi"/>
          <w:bCs/>
        </w:rPr>
        <w:t xml:space="preserve">did </w:t>
      </w:r>
      <w:r w:rsidR="004232A3">
        <w:rPr>
          <w:rFonts w:cstheme="minorHAnsi"/>
          <w:bCs/>
        </w:rPr>
        <w:t>this</w:t>
      </w:r>
      <w:r w:rsidR="00D43686" w:rsidRPr="00D43686">
        <w:rPr>
          <w:rFonts w:cstheme="minorHAnsi"/>
          <w:bCs/>
        </w:rPr>
        <w:t xml:space="preserve"> through the provision of adequate and appropriate housing for young people with limited income to provide thousands housing units</w:t>
      </w:r>
      <w:r w:rsidR="00D43686">
        <w:rPr>
          <w:rFonts w:cstheme="minorHAnsi"/>
          <w:bCs/>
        </w:rPr>
        <w:t xml:space="preserve">. It </w:t>
      </w:r>
      <w:r w:rsidR="00053B8F">
        <w:rPr>
          <w:rFonts w:cstheme="minorHAnsi"/>
          <w:bCs/>
        </w:rPr>
        <w:t xml:space="preserve">was </w:t>
      </w:r>
      <w:r w:rsidR="00D43686">
        <w:rPr>
          <w:rFonts w:cstheme="minorHAnsi"/>
          <w:bCs/>
        </w:rPr>
        <w:t xml:space="preserve">also envisioned to </w:t>
      </w:r>
      <w:r w:rsidR="00D43686" w:rsidRPr="00D43686">
        <w:rPr>
          <w:rFonts w:cstheme="minorHAnsi"/>
          <w:bCs/>
        </w:rPr>
        <w:t>solve the housing problem in Egypt, which is one of the bigge</w:t>
      </w:r>
      <w:r w:rsidR="00D43686">
        <w:rPr>
          <w:rFonts w:cstheme="minorHAnsi"/>
          <w:bCs/>
        </w:rPr>
        <w:t>st problems facing Egyptian citizens.</w:t>
      </w:r>
      <w:r w:rsidR="004861B3">
        <w:rPr>
          <w:noProof/>
          <w:lang w:val="en-GB"/>
        </w:rPr>
        <w:t xml:space="preserve"> The program</w:t>
      </w:r>
      <w:r>
        <w:rPr>
          <w:noProof/>
          <w:lang w:val="en-GB"/>
        </w:rPr>
        <w:t xml:space="preserve"> ended in 2013 and while it </w:t>
      </w:r>
      <w:r w:rsidR="004861B3">
        <w:rPr>
          <w:noProof/>
          <w:lang w:val="en-GB"/>
        </w:rPr>
        <w:t xml:space="preserve"> implemented</w:t>
      </w:r>
      <w:r>
        <w:rPr>
          <w:noProof/>
          <w:lang w:val="en-GB"/>
        </w:rPr>
        <w:t xml:space="preserve"> a large number of units </w:t>
      </w:r>
      <w:r w:rsidR="00053B8F">
        <w:rPr>
          <w:noProof/>
          <w:lang w:val="en-GB"/>
        </w:rPr>
        <w:t>, its ability to meet</w:t>
      </w:r>
      <w:r w:rsidR="004861B3">
        <w:rPr>
          <w:noProof/>
          <w:lang w:val="en-GB"/>
        </w:rPr>
        <w:t xml:space="preserve"> real demand and </w:t>
      </w:r>
      <w:r w:rsidR="00053B8F">
        <w:rPr>
          <w:noProof/>
          <w:lang w:val="en-GB"/>
        </w:rPr>
        <w:t>affordability is</w:t>
      </w:r>
      <w:r>
        <w:rPr>
          <w:noProof/>
          <w:lang w:val="en-GB"/>
        </w:rPr>
        <w:t xml:space="preserve"> </w:t>
      </w:r>
      <w:r w:rsidR="004861B3">
        <w:rPr>
          <w:noProof/>
          <w:lang w:val="en-GB"/>
        </w:rPr>
        <w:t>still questionable.</w:t>
      </w:r>
    </w:p>
    <w:p w:rsidR="00B71349" w:rsidRPr="00272702" w:rsidRDefault="00B71349" w:rsidP="00B71349">
      <w:pPr>
        <w:jc w:val="both"/>
        <w:rPr>
          <w:rFonts w:cstheme="minorHAnsi"/>
          <w:i/>
          <w:u w:val="single"/>
        </w:rPr>
      </w:pPr>
      <w:r w:rsidRPr="00272702">
        <w:rPr>
          <w:rFonts w:cstheme="minorHAnsi"/>
          <w:b/>
          <w:bCs/>
          <w:i/>
          <w:u w:val="single"/>
        </w:rPr>
        <w:t xml:space="preserve">The Social Housing </w:t>
      </w:r>
      <w:r w:rsidR="004729C3">
        <w:rPr>
          <w:rFonts w:cstheme="minorHAnsi"/>
          <w:b/>
          <w:bCs/>
          <w:i/>
          <w:u w:val="single"/>
        </w:rPr>
        <w:t>Program</w:t>
      </w:r>
      <w:r w:rsidR="004729C3" w:rsidRPr="00272702">
        <w:rPr>
          <w:rFonts w:cstheme="minorHAnsi"/>
          <w:b/>
          <w:bCs/>
          <w:i/>
          <w:u w:val="single"/>
        </w:rPr>
        <w:t xml:space="preserve"> </w:t>
      </w:r>
    </w:p>
    <w:p w:rsidR="004729C3" w:rsidRPr="00951AE4" w:rsidRDefault="00B71349" w:rsidP="00B71349">
      <w:pPr>
        <w:jc w:val="both"/>
        <w:rPr>
          <w:rFonts w:cstheme="minorHAnsi"/>
        </w:rPr>
      </w:pPr>
      <w:r w:rsidRPr="00B71349">
        <w:rPr>
          <w:rFonts w:cstheme="minorHAnsi"/>
        </w:rPr>
        <w:t xml:space="preserve">The Social Housing </w:t>
      </w:r>
      <w:r w:rsidR="004729C3">
        <w:rPr>
          <w:rFonts w:cstheme="minorHAnsi"/>
          <w:bCs/>
        </w:rPr>
        <w:t xml:space="preserve">Program </w:t>
      </w:r>
      <w:r w:rsidRPr="00B71349">
        <w:rPr>
          <w:rFonts w:cstheme="minorHAnsi"/>
        </w:rPr>
        <w:t>(SHP) was premised upon affordability of housing, affordabili</w:t>
      </w:r>
      <w:r>
        <w:rPr>
          <w:rFonts w:cstheme="minorHAnsi"/>
        </w:rPr>
        <w:t>ty being one of the seven compo</w:t>
      </w:r>
      <w:r w:rsidRPr="00B71349">
        <w:rPr>
          <w:rFonts w:cstheme="minorHAnsi"/>
        </w:rPr>
        <w:t>nents of the right to adequate housing. It was initiated in 2011 by the</w:t>
      </w:r>
      <w:r>
        <w:rPr>
          <w:rFonts w:cstheme="minorHAnsi"/>
        </w:rPr>
        <w:t xml:space="preserve"> Minist</w:t>
      </w:r>
      <w:r w:rsidRPr="00B71349">
        <w:rPr>
          <w:rFonts w:cstheme="minorHAnsi"/>
        </w:rPr>
        <w:t>r</w:t>
      </w:r>
      <w:r>
        <w:rPr>
          <w:rFonts w:cstheme="minorHAnsi"/>
        </w:rPr>
        <w:t>y</w:t>
      </w:r>
      <w:r w:rsidRPr="00B71349">
        <w:rPr>
          <w:rFonts w:cstheme="minorHAnsi"/>
        </w:rPr>
        <w:t xml:space="preserve"> of Housing</w:t>
      </w:r>
      <w:r>
        <w:rPr>
          <w:rFonts w:cstheme="minorHAnsi"/>
        </w:rPr>
        <w:t>.</w:t>
      </w:r>
      <w:r w:rsidR="004861B3" w:rsidRPr="004861B3">
        <w:rPr>
          <w:lang w:val="en-GB"/>
        </w:rPr>
        <w:t xml:space="preserve"> </w:t>
      </w:r>
      <w:r w:rsidR="004861B3" w:rsidRPr="00280277">
        <w:rPr>
          <w:lang w:val="en-GB"/>
        </w:rPr>
        <w:t>In April 2011, the Minister of Planning and International Cooperation prepared a proposal for a “National Social Housing Program”. This new program called for building a colossal amount of low-cost housing – some one million units in five years, i.e. a level of annual production more than twice that of the 2005-2011</w:t>
      </w:r>
      <w:r w:rsidR="004861B3">
        <w:rPr>
          <w:noProof/>
          <w:lang w:val="en-GB"/>
        </w:rPr>
        <w:t>.</w:t>
      </w:r>
      <w:r w:rsidR="004861B3" w:rsidRPr="00280277">
        <w:rPr>
          <w:lang w:val="en-GB"/>
        </w:rPr>
        <w:t xml:space="preserve"> The Ministry of Housing, the new Social Housing Fund, the Hou</w:t>
      </w:r>
      <w:r w:rsidR="00E3663D">
        <w:rPr>
          <w:lang w:val="en-GB"/>
        </w:rPr>
        <w:t>sing Development Bank, and New Urban Communities Authority</w:t>
      </w:r>
      <w:r w:rsidR="004861B3">
        <w:rPr>
          <w:noProof/>
          <w:lang w:val="en-GB"/>
        </w:rPr>
        <w:t xml:space="preserve"> </w:t>
      </w:r>
      <w:r w:rsidR="004861B3" w:rsidRPr="00280277">
        <w:rPr>
          <w:lang w:val="en-GB"/>
        </w:rPr>
        <w:t xml:space="preserve">would be the implementing agencies, and housing projects </w:t>
      </w:r>
      <w:r w:rsidR="004861B3">
        <w:rPr>
          <w:noProof/>
          <w:lang w:val="en-GB"/>
        </w:rPr>
        <w:t xml:space="preserve">are </w:t>
      </w:r>
      <w:r w:rsidR="00E3663D">
        <w:rPr>
          <w:noProof/>
          <w:lang w:val="en-GB"/>
        </w:rPr>
        <w:t xml:space="preserve"> to be </w:t>
      </w:r>
      <w:r w:rsidR="004861B3">
        <w:rPr>
          <w:noProof/>
          <w:lang w:val="en-GB"/>
        </w:rPr>
        <w:t xml:space="preserve">located in </w:t>
      </w:r>
      <w:r w:rsidR="004861B3" w:rsidRPr="00280277">
        <w:rPr>
          <w:lang w:val="en-GB"/>
        </w:rPr>
        <w:t>the new towns as well as in governorates</w:t>
      </w:r>
      <w:r w:rsidR="004861B3">
        <w:rPr>
          <w:noProof/>
          <w:lang w:val="en-GB"/>
        </w:rPr>
        <w:t>.</w:t>
      </w:r>
    </w:p>
    <w:p w:rsidR="00BD19D7" w:rsidRPr="004640F1" w:rsidRDefault="00BD19D7" w:rsidP="00B71349">
      <w:pPr>
        <w:jc w:val="both"/>
        <w:rPr>
          <w:rFonts w:cstheme="minorHAnsi"/>
          <w:b/>
          <w:i/>
          <w:u w:val="single"/>
        </w:rPr>
      </w:pPr>
      <w:r w:rsidRPr="004640F1">
        <w:rPr>
          <w:rFonts w:cstheme="minorHAnsi"/>
          <w:b/>
          <w:i/>
          <w:u w:val="single"/>
        </w:rPr>
        <w:t xml:space="preserve">National </w:t>
      </w:r>
      <w:r w:rsidR="004640F1">
        <w:rPr>
          <w:rFonts w:cstheme="minorHAnsi"/>
          <w:b/>
          <w:i/>
          <w:u w:val="single"/>
        </w:rPr>
        <w:t>U</w:t>
      </w:r>
      <w:r w:rsidRPr="004640F1">
        <w:rPr>
          <w:rFonts w:cstheme="minorHAnsi"/>
          <w:b/>
          <w:i/>
          <w:u w:val="single"/>
        </w:rPr>
        <w:t>rban Development Framework (2014-2052)</w:t>
      </w:r>
      <w:r w:rsidR="004640F1">
        <w:rPr>
          <w:rStyle w:val="FootnoteReference"/>
          <w:rFonts w:cstheme="minorHAnsi"/>
          <w:b/>
          <w:i/>
          <w:u w:val="single"/>
        </w:rPr>
        <w:footnoteReference w:id="3"/>
      </w:r>
    </w:p>
    <w:p w:rsidR="007377B6" w:rsidRPr="00C82B04" w:rsidRDefault="004640F1" w:rsidP="00C82B04">
      <w:pPr>
        <w:jc w:val="both"/>
        <w:rPr>
          <w:rFonts w:cstheme="minorHAnsi"/>
        </w:rPr>
      </w:pPr>
      <w:r>
        <w:rPr>
          <w:rFonts w:cstheme="minorHAnsi"/>
        </w:rPr>
        <w:t>T</w:t>
      </w:r>
      <w:r w:rsidRPr="004640F1">
        <w:rPr>
          <w:rFonts w:cstheme="minorHAnsi"/>
        </w:rPr>
        <w:t>he vi</w:t>
      </w:r>
      <w:r w:rsidR="004232A3">
        <w:rPr>
          <w:rFonts w:cstheme="minorHAnsi"/>
        </w:rPr>
        <w:t xml:space="preserve">sion of the government of Egypt </w:t>
      </w:r>
      <w:r>
        <w:rPr>
          <w:rFonts w:cstheme="minorHAnsi"/>
        </w:rPr>
        <w:t xml:space="preserve">is expressed in this framework, which serves as the outline </w:t>
      </w:r>
      <w:r w:rsidRPr="004640F1">
        <w:rPr>
          <w:rFonts w:cstheme="minorHAnsi"/>
        </w:rPr>
        <w:t>to induce instit</w:t>
      </w:r>
      <w:r>
        <w:rPr>
          <w:rFonts w:cstheme="minorHAnsi"/>
        </w:rPr>
        <w:t xml:space="preserve">utional transformations through a number of legislations. It also serves the purpose of complementing </w:t>
      </w:r>
      <w:r w:rsidRPr="004640F1">
        <w:rPr>
          <w:rFonts w:cstheme="minorHAnsi"/>
        </w:rPr>
        <w:t>past efforts to restructure the national economy since the 1990s.</w:t>
      </w:r>
      <w:r>
        <w:rPr>
          <w:rFonts w:cstheme="minorHAnsi"/>
        </w:rPr>
        <w:t xml:space="preserve"> </w:t>
      </w:r>
    </w:p>
    <w:p w:rsidR="00825851" w:rsidRDefault="0080312B" w:rsidP="002250DD">
      <w:pPr>
        <w:rPr>
          <w:b/>
          <w:sz w:val="28"/>
        </w:rPr>
      </w:pPr>
      <w:r w:rsidRPr="00FB7E00">
        <w:rPr>
          <w:b/>
          <w:sz w:val="28"/>
        </w:rPr>
        <w:lastRenderedPageBreak/>
        <w:t>Judiciary</w:t>
      </w:r>
    </w:p>
    <w:p w:rsidR="00F4352B" w:rsidRDefault="00077104" w:rsidP="002250DD">
      <w:r>
        <w:t>N</w:t>
      </w:r>
      <w:r w:rsidR="00FB7E00">
        <w:t xml:space="preserve">o legal decisions regarding housing could be sourced. </w:t>
      </w:r>
    </w:p>
    <w:p w:rsidR="00C82B04" w:rsidRDefault="00C82B04">
      <w:pPr>
        <w:rPr>
          <w:b/>
          <w:sz w:val="28"/>
        </w:rPr>
      </w:pPr>
      <w:r>
        <w:rPr>
          <w:b/>
          <w:sz w:val="28"/>
        </w:rPr>
        <w:br w:type="page"/>
      </w:r>
    </w:p>
    <w:p w:rsidR="00053462" w:rsidRDefault="00FB7E00" w:rsidP="00053462">
      <w:r w:rsidRPr="00FB7E00">
        <w:rPr>
          <w:b/>
          <w:sz w:val="28"/>
        </w:rPr>
        <w:lastRenderedPageBreak/>
        <w:t>International Conventions</w:t>
      </w:r>
      <w:r w:rsidR="00376665">
        <w:rPr>
          <w:rStyle w:val="FootnoteReference"/>
          <w:b/>
          <w:sz w:val="28"/>
        </w:rPr>
        <w:footnoteReference w:id="4"/>
      </w:r>
    </w:p>
    <w:p w:rsidR="00341378" w:rsidRPr="00053462" w:rsidRDefault="007B785C" w:rsidP="00836C11">
      <w:pPr>
        <w:jc w:val="both"/>
      </w:pPr>
      <w:r>
        <w:rPr>
          <w:rFonts w:eastAsia="Times New Roman" w:cstheme="minorHAnsi"/>
          <w:color w:val="000000"/>
          <w:lang w:eastAsia="en-AU"/>
        </w:rPr>
        <w:t>Egypt</w:t>
      </w:r>
      <w:r w:rsidR="00341378">
        <w:rPr>
          <w:rFonts w:eastAsia="Times New Roman" w:cstheme="minorHAnsi"/>
          <w:color w:val="000000"/>
          <w:lang w:eastAsia="en-AU"/>
        </w:rPr>
        <w:t xml:space="preserve"> has ratified all of the major human rights conventions, including the Covenant on Economic, Social and Political Rights, which includes the </w:t>
      </w:r>
      <w:r w:rsidR="00FD5F44">
        <w:rPr>
          <w:rFonts w:eastAsia="Times New Roman" w:cstheme="minorHAnsi"/>
          <w:color w:val="000000"/>
          <w:lang w:eastAsia="en-AU"/>
        </w:rPr>
        <w:t>r</w:t>
      </w:r>
      <w:r w:rsidR="00341378">
        <w:rPr>
          <w:rFonts w:eastAsia="Times New Roman" w:cstheme="minorHAnsi"/>
          <w:color w:val="000000"/>
          <w:lang w:eastAsia="en-AU"/>
        </w:rPr>
        <w:t>i</w:t>
      </w:r>
      <w:r w:rsidR="00FD5F44">
        <w:rPr>
          <w:rFonts w:eastAsia="Times New Roman" w:cstheme="minorHAnsi"/>
          <w:color w:val="000000"/>
          <w:lang w:eastAsia="en-AU"/>
        </w:rPr>
        <w:t>ght to adequate housing as a component of the r</w:t>
      </w:r>
      <w:r w:rsidR="00341378">
        <w:rPr>
          <w:rFonts w:eastAsia="Times New Roman" w:cstheme="minorHAnsi"/>
          <w:color w:val="000000"/>
          <w:lang w:eastAsia="en-AU"/>
        </w:rPr>
        <w:t xml:space="preserve">ight to an </w:t>
      </w:r>
      <w:r w:rsidR="00FD5F44">
        <w:rPr>
          <w:rFonts w:eastAsia="Times New Roman" w:cstheme="minorHAnsi"/>
          <w:color w:val="000000"/>
          <w:lang w:eastAsia="en-AU"/>
        </w:rPr>
        <w:t>adequate standard of l</w:t>
      </w:r>
      <w:r w:rsidR="00341378">
        <w:rPr>
          <w:rFonts w:eastAsia="Times New Roman" w:cstheme="minorHAnsi"/>
          <w:color w:val="000000"/>
          <w:lang w:eastAsia="en-AU"/>
        </w:rPr>
        <w:t>iving.</w:t>
      </w:r>
    </w:p>
    <w:tbl>
      <w:tblPr>
        <w:tblStyle w:val="LightShading1"/>
        <w:tblW w:w="5000" w:type="pct"/>
        <w:tblLook w:val="04A0" w:firstRow="1" w:lastRow="0" w:firstColumn="1" w:lastColumn="0" w:noHBand="0" w:noVBand="1"/>
      </w:tblPr>
      <w:tblGrid>
        <w:gridCol w:w="3982"/>
        <w:gridCol w:w="1246"/>
        <w:gridCol w:w="1068"/>
        <w:gridCol w:w="2946"/>
      </w:tblGrid>
      <w:tr w:rsidR="0033417F" w:rsidRPr="00C93A1A" w:rsidTr="00480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BE02E2"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0" w:type="auto"/>
            <w:hideMark/>
          </w:tcPr>
          <w:p w:rsidR="0033417F" w:rsidRPr="00C93A1A" w:rsidRDefault="00BE02E2"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0" w:type="auto"/>
            <w:hideMark/>
          </w:tcPr>
          <w:p w:rsidR="0033417F" w:rsidRPr="00C93A1A" w:rsidRDefault="00BE02E2"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594" w:type="pct"/>
            <w:hideMark/>
          </w:tcPr>
          <w:p w:rsidR="0033417F" w:rsidRPr="00C93A1A" w:rsidRDefault="00BE02E2"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8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594" w:type="pct"/>
            <w:hideMark/>
          </w:tcPr>
          <w:p w:rsidR="0033417F" w:rsidRPr="00C93A1A" w:rsidRDefault="00836C1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002F02BA">
              <w:rPr>
                <w:rFonts w:eastAsia="Times New Roman" w:cstheme="minorHAnsi"/>
              </w:rPr>
              <w:t>25 Jun 1986 (a)</w:t>
            </w:r>
          </w:p>
        </w:tc>
      </w:tr>
      <w:tr w:rsidR="0033417F" w:rsidRPr="00C93A1A" w:rsidTr="00480F96">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0" w:type="auto"/>
            <w:hideMark/>
          </w:tcPr>
          <w:p w:rsidR="0033417F" w:rsidRPr="00C93A1A" w:rsidRDefault="00836C1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2F02BA">
              <w:rPr>
                <w:rFonts w:eastAsia="Times New Roman" w:cstheme="minorHAnsi"/>
              </w:rPr>
              <w:t>4 Aug 1967</w:t>
            </w:r>
          </w:p>
        </w:tc>
        <w:tc>
          <w:tcPr>
            <w:tcW w:w="1594" w:type="pct"/>
            <w:hideMark/>
          </w:tcPr>
          <w:p w:rsidR="0033417F" w:rsidRPr="00C93A1A" w:rsidRDefault="002F02BA" w:rsidP="00A50E19">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14 Jan 1982</w:t>
            </w:r>
          </w:p>
        </w:tc>
      </w:tr>
      <w:tr w:rsidR="0033417F" w:rsidRPr="00C93A1A" w:rsidTr="0048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0" w:type="auto"/>
            <w:hideMark/>
          </w:tcPr>
          <w:p w:rsidR="0033417F" w:rsidRPr="00C93A1A" w:rsidRDefault="00836C1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16 Jul 1980</w:t>
            </w:r>
          </w:p>
        </w:tc>
        <w:tc>
          <w:tcPr>
            <w:tcW w:w="1594" w:type="pct"/>
            <w:hideMark/>
          </w:tcPr>
          <w:p w:rsidR="0033417F" w:rsidRPr="00C93A1A" w:rsidRDefault="00836C1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18 Sep 1981</w:t>
            </w:r>
          </w:p>
        </w:tc>
      </w:tr>
      <w:tr w:rsidR="0033417F" w:rsidRPr="00C93A1A" w:rsidTr="00480F96">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0" w:type="auto"/>
            <w:hideMark/>
          </w:tcPr>
          <w:p w:rsidR="0033417F" w:rsidRPr="00C93A1A" w:rsidRDefault="00836C1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28 Sep 1966</w:t>
            </w:r>
            <w:r w:rsidR="0033417F" w:rsidRPr="00C93A1A">
              <w:rPr>
                <w:rFonts w:eastAsia="Times New Roman" w:cstheme="minorHAnsi"/>
              </w:rPr>
              <w:t> </w:t>
            </w:r>
          </w:p>
        </w:tc>
        <w:tc>
          <w:tcPr>
            <w:tcW w:w="1594" w:type="pct"/>
            <w:hideMark/>
          </w:tcPr>
          <w:p w:rsidR="0033417F" w:rsidRPr="00C93A1A" w:rsidRDefault="00836C1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1 May 1967 </w:t>
            </w:r>
          </w:p>
        </w:tc>
      </w:tr>
      <w:tr w:rsidR="0033417F" w:rsidRPr="00C93A1A" w:rsidTr="0048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0" w:type="auto"/>
            <w:hideMark/>
          </w:tcPr>
          <w:p w:rsidR="0033417F" w:rsidRPr="00C93A1A" w:rsidRDefault="00836C1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4 Aug 1967 </w:t>
            </w:r>
          </w:p>
        </w:tc>
        <w:tc>
          <w:tcPr>
            <w:tcW w:w="1594" w:type="pct"/>
            <w:hideMark/>
          </w:tcPr>
          <w:p w:rsidR="0033417F" w:rsidRPr="00C93A1A" w:rsidRDefault="00836C1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14 Jan 1982</w:t>
            </w:r>
          </w:p>
        </w:tc>
      </w:tr>
      <w:tr w:rsidR="0033417F" w:rsidRPr="00C93A1A" w:rsidTr="00480F96">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0" w:type="auto"/>
            <w:hideMark/>
          </w:tcPr>
          <w:p w:rsidR="009F7AFA" w:rsidRPr="009F7AFA" w:rsidRDefault="00341378" w:rsidP="009F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594" w:type="pct"/>
            <w:hideMark/>
          </w:tcPr>
          <w:p w:rsidR="0033417F" w:rsidRPr="00C93A1A" w:rsidRDefault="00341378" w:rsidP="009F7A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836C11">
              <w:rPr>
                <w:rFonts w:eastAsia="Times New Roman" w:cstheme="minorHAnsi"/>
              </w:rPr>
              <w:t>16 Feb 1993 (a)</w:t>
            </w:r>
          </w:p>
        </w:tc>
      </w:tr>
      <w:tr w:rsidR="0033417F" w:rsidRPr="00C93A1A" w:rsidTr="0048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0" w:type="auto"/>
            <w:hideMark/>
          </w:tcPr>
          <w:p w:rsidR="0033417F" w:rsidRPr="00C93A1A" w:rsidRDefault="00836C11" w:rsidP="009F7A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5 Feb 1990 </w:t>
            </w:r>
          </w:p>
        </w:tc>
        <w:tc>
          <w:tcPr>
            <w:tcW w:w="1594" w:type="pct"/>
            <w:hideMark/>
          </w:tcPr>
          <w:p w:rsidR="0033417F" w:rsidRPr="00C93A1A" w:rsidRDefault="00836C11" w:rsidP="009F7AF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6 Jul 1990</w:t>
            </w:r>
          </w:p>
        </w:tc>
      </w:tr>
      <w:tr w:rsidR="0033417F" w:rsidRPr="00C93A1A" w:rsidTr="00480F96">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0" w:type="auto"/>
            <w:hideMark/>
          </w:tcPr>
          <w:p w:rsidR="0033417F" w:rsidRPr="00C93A1A" w:rsidRDefault="00836C11" w:rsidP="00836C1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4 Apr 2007 </w:t>
            </w:r>
          </w:p>
        </w:tc>
        <w:tc>
          <w:tcPr>
            <w:tcW w:w="1594" w:type="pct"/>
            <w:hideMark/>
          </w:tcPr>
          <w:p w:rsidR="0033417F" w:rsidRPr="00C93A1A" w:rsidRDefault="00341378" w:rsidP="00836C1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836C11">
              <w:rPr>
                <w:rFonts w:eastAsia="Times New Roman" w:cstheme="minorHAnsi"/>
              </w:rPr>
              <w:t xml:space="preserve"> 14 Apr 2008</w:t>
            </w:r>
          </w:p>
        </w:tc>
      </w:tr>
      <w:tr w:rsidR="00480F96" w:rsidRPr="00C93A1A" w:rsidTr="0048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tcPr>
          <w:p w:rsidR="00480F96" w:rsidRPr="00C93A1A" w:rsidRDefault="00480F96" w:rsidP="00480F96">
            <w:pPr>
              <w:rPr>
                <w:rFonts w:eastAsia="Times New Roman" w:cstheme="minorHAnsi"/>
              </w:rPr>
            </w:pPr>
            <w:r>
              <w:rPr>
                <w:rFonts w:eastAsia="Times New Roman" w:cstheme="minorHAnsi"/>
                <w:b w:val="0"/>
              </w:rPr>
              <w:t xml:space="preserve">Convention </w:t>
            </w:r>
            <w:r w:rsidRPr="00F30F93">
              <w:rPr>
                <w:rFonts w:eastAsia="Times New Roman" w:cstheme="minorHAnsi"/>
                <w:b w:val="0"/>
              </w:rPr>
              <w:t>Relating to the Status of Refugees</w:t>
            </w:r>
          </w:p>
        </w:tc>
        <w:tc>
          <w:tcPr>
            <w:tcW w:w="0" w:type="auto"/>
          </w:tcPr>
          <w:p w:rsidR="00480F96" w:rsidRPr="00C93A1A" w:rsidRDefault="00480F96" w:rsidP="00AF5BD6">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0" w:type="auto"/>
          </w:tcPr>
          <w:p w:rsidR="00480F96" w:rsidRPr="009F7AFA" w:rsidRDefault="00341378" w:rsidP="009F7AF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594" w:type="pct"/>
          </w:tcPr>
          <w:p w:rsidR="00480F96" w:rsidRPr="009F7AFA" w:rsidRDefault="00341378"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00836C11">
              <w:rPr>
                <w:rFonts w:eastAsia="Times New Roman" w:cstheme="minorHAnsi"/>
              </w:rPr>
              <w:t>22 May 1981 (a)</w:t>
            </w:r>
          </w:p>
        </w:tc>
      </w:tr>
      <w:tr w:rsidR="00480F96" w:rsidRPr="00C93A1A" w:rsidTr="00480F96">
        <w:tc>
          <w:tcPr>
            <w:cnfStyle w:val="001000000000" w:firstRow="0" w:lastRow="0" w:firstColumn="1" w:lastColumn="0" w:oddVBand="0" w:evenVBand="0" w:oddHBand="0" w:evenHBand="0" w:firstRowFirstColumn="0" w:firstRowLastColumn="0" w:lastRowFirstColumn="0" w:lastRowLastColumn="0"/>
            <w:tcW w:w="2154" w:type="pct"/>
          </w:tcPr>
          <w:p w:rsidR="00480F96" w:rsidRPr="00F30F93" w:rsidRDefault="00480F96" w:rsidP="00BD345A">
            <w:pPr>
              <w:rPr>
                <w:rFonts w:eastAsia="Times New Roman" w:cstheme="minorHAnsi"/>
                <w:b w:val="0"/>
              </w:rPr>
            </w:pPr>
            <w:r>
              <w:rPr>
                <w:rFonts w:eastAsia="Times New Roman" w:cstheme="minorHAnsi"/>
                <w:b w:val="0"/>
              </w:rPr>
              <w:t>Protocol</w:t>
            </w:r>
            <w:r w:rsidRPr="00F30F93">
              <w:rPr>
                <w:rFonts w:eastAsia="Times New Roman" w:cstheme="minorHAnsi"/>
                <w:b w:val="0"/>
              </w:rPr>
              <w:t xml:space="preserve"> Relating to the Status of Refugees </w:t>
            </w:r>
          </w:p>
        </w:tc>
        <w:tc>
          <w:tcPr>
            <w:tcW w:w="0" w:type="auto"/>
          </w:tcPr>
          <w:p w:rsidR="00480F96" w:rsidRPr="00C93A1A" w:rsidRDefault="00480F96"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0" w:type="auto"/>
          </w:tcPr>
          <w:p w:rsidR="00480F96" w:rsidRPr="009F7AFA" w:rsidRDefault="00480F96" w:rsidP="009F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94" w:type="pct"/>
          </w:tcPr>
          <w:p w:rsidR="00480F96" w:rsidRPr="009F7AFA" w:rsidRDefault="00341378"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836C11">
              <w:rPr>
                <w:rFonts w:eastAsia="Times New Roman" w:cstheme="minorHAnsi"/>
              </w:rPr>
              <w:t>22 May 1981 (a)</w:t>
            </w:r>
          </w:p>
        </w:tc>
      </w:tr>
    </w:tbl>
    <w:p w:rsidR="00825851" w:rsidRDefault="00825851" w:rsidP="002F02BA">
      <w:pPr>
        <w:rPr>
          <w:b/>
          <w:sz w:val="28"/>
        </w:rPr>
      </w:pPr>
    </w:p>
    <w:p w:rsidR="004232A3" w:rsidRDefault="004232A3" w:rsidP="002250DD">
      <w:pPr>
        <w:rPr>
          <w:b/>
          <w:sz w:val="28"/>
        </w:rPr>
      </w:pPr>
    </w:p>
    <w:p w:rsidR="007E6E28" w:rsidRDefault="007E6E28" w:rsidP="002250DD">
      <w:pPr>
        <w:rPr>
          <w:b/>
          <w:sz w:val="28"/>
        </w:rPr>
      </w:pPr>
    </w:p>
    <w:p w:rsidR="002E7D99" w:rsidRDefault="002E7D99" w:rsidP="002250DD">
      <w:pPr>
        <w:rPr>
          <w:b/>
          <w:sz w:val="28"/>
        </w:rPr>
      </w:pPr>
      <w:r w:rsidRPr="00437199">
        <w:rPr>
          <w:b/>
          <w:sz w:val="28"/>
        </w:rPr>
        <w:lastRenderedPageBreak/>
        <w:t>UN</w:t>
      </w:r>
      <w:r w:rsidR="002F02BA">
        <w:rPr>
          <w:b/>
          <w:sz w:val="28"/>
        </w:rPr>
        <w:t xml:space="preserve"> </w:t>
      </w:r>
      <w:r w:rsidR="00437199" w:rsidRPr="00437199">
        <w:rPr>
          <w:b/>
          <w:sz w:val="28"/>
        </w:rPr>
        <w:t>Agencies</w:t>
      </w:r>
    </w:p>
    <w:p w:rsidR="00860FA2" w:rsidRPr="00437199" w:rsidRDefault="00860FA2" w:rsidP="002250DD">
      <w:pPr>
        <w:rPr>
          <w:b/>
          <w:sz w:val="28"/>
        </w:rPr>
      </w:pPr>
      <w:r>
        <w:rPr>
          <w:rFonts w:eastAsia="Times New Roman" w:cstheme="minorHAnsi"/>
          <w:color w:val="000000"/>
          <w:lang w:eastAsia="en-AU"/>
        </w:rPr>
        <w:t>UN review mechanisms have generally given positive feedback on the continual pursuit of improved housing, not</w:t>
      </w:r>
      <w:r w:rsidR="00D226A9">
        <w:rPr>
          <w:rFonts w:eastAsia="Times New Roman" w:cstheme="minorHAnsi"/>
          <w:color w:val="000000"/>
          <w:lang w:eastAsia="en-AU"/>
        </w:rPr>
        <w:t>ing yet</w:t>
      </w:r>
      <w:r>
        <w:rPr>
          <w:rFonts w:eastAsia="Times New Roman" w:cstheme="minorHAnsi"/>
          <w:color w:val="000000"/>
          <w:lang w:eastAsia="en-AU"/>
        </w:rPr>
        <w:t xml:space="preserve"> </w:t>
      </w:r>
      <w:r w:rsidR="004D7055">
        <w:rPr>
          <w:rFonts w:eastAsia="Times New Roman" w:cstheme="minorHAnsi"/>
          <w:color w:val="000000"/>
          <w:lang w:eastAsia="en-AU"/>
        </w:rPr>
        <w:t>the shortage of adequate housing and the issue of homelessness</w:t>
      </w:r>
      <w:r>
        <w:rPr>
          <w:rFonts w:eastAsia="Times New Roman" w:cstheme="minorHAnsi"/>
          <w:color w:val="000000"/>
          <w:lang w:eastAsia="en-AU"/>
        </w:rPr>
        <w:t>.</w:t>
      </w:r>
    </w:p>
    <w:p w:rsidR="00437199" w:rsidRPr="00437199" w:rsidRDefault="00437199" w:rsidP="002250DD">
      <w:r w:rsidRPr="00437199">
        <w:rPr>
          <w:rFonts w:cstheme="minorHAnsi"/>
          <w:b/>
          <w:i/>
        </w:rPr>
        <w:t>Universal Periodic Review (201</w:t>
      </w:r>
      <w:r w:rsidR="001B14C7">
        <w:rPr>
          <w:rFonts w:cstheme="minorHAnsi"/>
          <w:b/>
          <w:i/>
        </w:rPr>
        <w:t>0 and 2014</w:t>
      </w:r>
      <w:r w:rsidRPr="00437199">
        <w:rPr>
          <w:rFonts w:cstheme="minorHAnsi"/>
          <w:b/>
          <w:i/>
        </w:rPr>
        <w:t>)</w:t>
      </w:r>
    </w:p>
    <w:p w:rsidR="00E93A9D" w:rsidRDefault="000B5A30" w:rsidP="00F56B2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D947DA" w:rsidRPr="001B14C7" w:rsidRDefault="001B14C7" w:rsidP="00D947DA">
      <w:pPr>
        <w:jc w:val="both"/>
        <w:rPr>
          <w:rFonts w:cstheme="minorHAnsi"/>
          <w:u w:val="single"/>
        </w:rPr>
      </w:pPr>
      <w:r w:rsidRPr="001B14C7">
        <w:rPr>
          <w:rFonts w:cstheme="minorHAnsi"/>
          <w:u w:val="single"/>
        </w:rPr>
        <w:t>First UPR</w:t>
      </w:r>
      <w:r>
        <w:rPr>
          <w:rStyle w:val="FootnoteReference"/>
          <w:rFonts w:cstheme="minorHAnsi"/>
          <w:u w:val="single"/>
        </w:rPr>
        <w:footnoteReference w:id="5"/>
      </w:r>
    </w:p>
    <w:p w:rsidR="001B14C7" w:rsidRDefault="001B14C7" w:rsidP="00D947DA">
      <w:pPr>
        <w:jc w:val="both"/>
        <w:rPr>
          <w:rFonts w:cstheme="minorHAnsi"/>
        </w:rPr>
      </w:pPr>
      <w:r>
        <w:rPr>
          <w:rFonts w:cstheme="minorHAnsi"/>
        </w:rPr>
        <w:t>The report noted that e</w:t>
      </w:r>
      <w:r w:rsidRPr="001B14C7">
        <w:rPr>
          <w:rFonts w:cstheme="minorHAnsi"/>
        </w:rPr>
        <w:t>conomic, social and cultural rights enjoyed a high priority and Egypt developed plans and policies notably relating to the rights to fo</w:t>
      </w:r>
      <w:r>
        <w:rPr>
          <w:rFonts w:cstheme="minorHAnsi"/>
        </w:rPr>
        <w:t xml:space="preserve">od, to adequate housing, and to </w:t>
      </w:r>
      <w:r w:rsidRPr="001B14C7">
        <w:rPr>
          <w:rFonts w:cstheme="minorHAnsi"/>
        </w:rPr>
        <w:t>access to social services</w:t>
      </w:r>
      <w:r>
        <w:rPr>
          <w:rFonts w:cstheme="minorHAnsi"/>
        </w:rPr>
        <w:t>.</w:t>
      </w:r>
      <w:r w:rsidRPr="001B14C7">
        <w:t xml:space="preserve"> </w:t>
      </w:r>
      <w:r w:rsidRPr="001B14C7">
        <w:rPr>
          <w:rFonts w:cstheme="minorHAnsi"/>
        </w:rPr>
        <w:t>With regard to housing, Egypt referred to its national plan which envisaged the construction of half a million housing units for persons of low income, which plan would be completed in the next few months.</w:t>
      </w:r>
    </w:p>
    <w:p w:rsidR="001B14C7" w:rsidRDefault="001B14C7" w:rsidP="00D947DA">
      <w:pPr>
        <w:jc w:val="both"/>
        <w:rPr>
          <w:rFonts w:cstheme="minorHAnsi"/>
        </w:rPr>
      </w:pPr>
      <w:r>
        <w:rPr>
          <w:rFonts w:cstheme="minorHAnsi"/>
        </w:rPr>
        <w:t>‘Recommendation 52:</w:t>
      </w:r>
      <w:r w:rsidRPr="001B14C7">
        <w:rPr>
          <w:rFonts w:cstheme="minorHAnsi"/>
        </w:rPr>
        <w:t xml:space="preserve"> Continue to strengthen its efforts in ensuring housing for all Egyptian citizens</w:t>
      </w:r>
      <w:r>
        <w:rPr>
          <w:rFonts w:cstheme="minorHAnsi"/>
        </w:rPr>
        <w:t>.’</w:t>
      </w:r>
    </w:p>
    <w:p w:rsidR="001B14C7" w:rsidRDefault="001B14C7" w:rsidP="00D947DA">
      <w:pPr>
        <w:jc w:val="both"/>
        <w:rPr>
          <w:rFonts w:cstheme="minorHAnsi"/>
          <w:u w:val="single"/>
        </w:rPr>
      </w:pPr>
      <w:r w:rsidRPr="001B14C7">
        <w:rPr>
          <w:rFonts w:cstheme="minorHAnsi"/>
          <w:u w:val="single"/>
        </w:rPr>
        <w:t>Second UPR</w:t>
      </w:r>
      <w:r>
        <w:rPr>
          <w:rStyle w:val="FootnoteReference"/>
          <w:rFonts w:cstheme="minorHAnsi"/>
          <w:u w:val="single"/>
        </w:rPr>
        <w:footnoteReference w:id="6"/>
      </w:r>
      <w:r w:rsidRPr="001B14C7">
        <w:rPr>
          <w:rFonts w:cstheme="minorHAnsi"/>
          <w:u w:val="single"/>
        </w:rPr>
        <w:t xml:space="preserve"> </w:t>
      </w:r>
    </w:p>
    <w:p w:rsidR="001B14C7" w:rsidRDefault="001B14C7" w:rsidP="00D947DA">
      <w:pPr>
        <w:jc w:val="both"/>
        <w:rPr>
          <w:rFonts w:cstheme="minorHAnsi"/>
        </w:rPr>
      </w:pPr>
      <w:r>
        <w:rPr>
          <w:rFonts w:cstheme="minorHAnsi"/>
        </w:rPr>
        <w:t xml:space="preserve">The report noted that </w:t>
      </w:r>
      <w:r w:rsidRPr="001B14C7">
        <w:rPr>
          <w:rFonts w:cstheme="minorHAnsi"/>
        </w:rPr>
        <w:t>Egypt designed a comprehensive housing strategy for the period 2012-2027 that aims to provide housing to limited-income families, women breadwinners, persons with disabilities and oth</w:t>
      </w:r>
      <w:r>
        <w:rPr>
          <w:rFonts w:cstheme="minorHAnsi"/>
        </w:rPr>
        <w:t>ers. A law on social housing had also</w:t>
      </w:r>
      <w:r w:rsidRPr="001B14C7">
        <w:rPr>
          <w:rFonts w:cstheme="minorHAnsi"/>
        </w:rPr>
        <w:t xml:space="preserve"> been issued.</w:t>
      </w:r>
      <w:r>
        <w:rPr>
          <w:rFonts w:cstheme="minorHAnsi"/>
        </w:rPr>
        <w:t xml:space="preserve"> </w:t>
      </w:r>
    </w:p>
    <w:p w:rsidR="00BD19D7" w:rsidRDefault="00BD19D7" w:rsidP="00D947DA">
      <w:pPr>
        <w:jc w:val="both"/>
        <w:rPr>
          <w:rFonts w:cstheme="minorHAnsi"/>
        </w:rPr>
      </w:pPr>
      <w:r>
        <w:rPr>
          <w:rFonts w:cstheme="minorHAnsi"/>
        </w:rPr>
        <w:t xml:space="preserve">‘Recommendation </w:t>
      </w:r>
      <w:r w:rsidRPr="00BD19D7">
        <w:rPr>
          <w:rFonts w:cstheme="minorHAnsi"/>
        </w:rPr>
        <w:t>166.262</w:t>
      </w:r>
      <w:r>
        <w:rPr>
          <w:rFonts w:cstheme="minorHAnsi"/>
        </w:rPr>
        <w:t>:</w:t>
      </w:r>
      <w:r w:rsidRPr="00BD19D7">
        <w:rPr>
          <w:rFonts w:cstheme="minorHAnsi"/>
        </w:rPr>
        <w:t xml:space="preserve"> Strengthen the national legislative framework to fight illiteracy, reach the integral development of all segments of the population and regions, improve the standard of living of its citizens, inc</w:t>
      </w:r>
      <w:r>
        <w:rPr>
          <w:rFonts w:cstheme="minorHAnsi"/>
        </w:rPr>
        <w:t xml:space="preserve">luding vulnerable groups of the </w:t>
      </w:r>
      <w:r w:rsidRPr="00BD19D7">
        <w:rPr>
          <w:rFonts w:cstheme="minorHAnsi"/>
        </w:rPr>
        <w:t>population, and provide housing and other economic and social rights</w:t>
      </w:r>
      <w:r>
        <w:rPr>
          <w:rFonts w:cstheme="minorHAnsi"/>
        </w:rPr>
        <w:t>.’</w:t>
      </w:r>
    </w:p>
    <w:p w:rsidR="00BD19D7" w:rsidRDefault="00BD19D7" w:rsidP="00D947DA">
      <w:pPr>
        <w:jc w:val="both"/>
        <w:rPr>
          <w:rFonts w:cstheme="minorHAnsi"/>
        </w:rPr>
      </w:pPr>
      <w:r>
        <w:rPr>
          <w:rFonts w:cstheme="minorHAnsi"/>
        </w:rPr>
        <w:t xml:space="preserve">‘Recommendation </w:t>
      </w:r>
      <w:r w:rsidRPr="00BD19D7">
        <w:rPr>
          <w:rFonts w:cstheme="minorHAnsi"/>
        </w:rPr>
        <w:t>166.272</w:t>
      </w:r>
      <w:r>
        <w:rPr>
          <w:rFonts w:cstheme="minorHAnsi"/>
        </w:rPr>
        <w:t>:</w:t>
      </w:r>
      <w:r w:rsidRPr="00BD19D7">
        <w:rPr>
          <w:rFonts w:cstheme="minorHAnsi"/>
        </w:rPr>
        <w:t xml:space="preserve"> Intensify its efforts to ensure the establishment of the housing strategy 2012-2027</w:t>
      </w:r>
      <w:r>
        <w:rPr>
          <w:rFonts w:cstheme="minorHAnsi"/>
        </w:rPr>
        <w:t>.’</w:t>
      </w:r>
    </w:p>
    <w:p w:rsidR="00BD19D7" w:rsidRDefault="00BD19D7" w:rsidP="00D947DA">
      <w:pPr>
        <w:jc w:val="both"/>
        <w:rPr>
          <w:rFonts w:cstheme="minorHAnsi"/>
        </w:rPr>
      </w:pPr>
    </w:p>
    <w:p w:rsidR="00BD19D7" w:rsidRDefault="00BD19D7" w:rsidP="00D947DA">
      <w:pPr>
        <w:jc w:val="both"/>
        <w:rPr>
          <w:rFonts w:cstheme="minorHAnsi"/>
        </w:rPr>
      </w:pPr>
    </w:p>
    <w:p w:rsidR="00BD19D7" w:rsidRPr="001B14C7" w:rsidRDefault="00BD19D7" w:rsidP="00D947DA">
      <w:pPr>
        <w:jc w:val="both"/>
        <w:rPr>
          <w:rFonts w:cstheme="minorHAnsi"/>
          <w:lang w:val="en-GB"/>
        </w:rPr>
      </w:pPr>
    </w:p>
    <w:p w:rsidR="00CE3053" w:rsidRDefault="00437199" w:rsidP="00825851">
      <w:pPr>
        <w:rPr>
          <w:rFonts w:cstheme="minorHAnsi"/>
          <w:b/>
          <w:bCs/>
          <w:i/>
        </w:rPr>
      </w:pPr>
      <w:r w:rsidRPr="00437199">
        <w:rPr>
          <w:rFonts w:cstheme="minorHAnsi"/>
          <w:b/>
          <w:bCs/>
          <w:i/>
        </w:rPr>
        <w:lastRenderedPageBreak/>
        <w:t>Report of the United Nations High Commissioner for Human Rights (201</w:t>
      </w:r>
      <w:r w:rsidR="00BD19D7">
        <w:rPr>
          <w:rFonts w:cstheme="minorHAnsi"/>
          <w:b/>
          <w:bCs/>
          <w:i/>
        </w:rPr>
        <w:t>0 and 2014</w:t>
      </w:r>
      <w:r w:rsidRPr="00437199">
        <w:rPr>
          <w:rFonts w:cstheme="minorHAnsi"/>
          <w:b/>
          <w:bCs/>
          <w:i/>
        </w:rPr>
        <w:t>)</w:t>
      </w:r>
      <w:r w:rsidR="00BF207E">
        <w:rPr>
          <w:rStyle w:val="FootnoteReference"/>
          <w:rFonts w:cstheme="minorHAnsi"/>
          <w:b/>
          <w:bCs/>
          <w:i/>
        </w:rPr>
        <w:footnoteReference w:id="7"/>
      </w:r>
    </w:p>
    <w:p w:rsidR="00825851" w:rsidRDefault="00CE3053" w:rsidP="00825851">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437199" w:rsidRDefault="00BD19D7" w:rsidP="00825851">
      <w:pPr>
        <w:jc w:val="both"/>
        <w:rPr>
          <w:rFonts w:cstheme="minorHAnsi"/>
        </w:rPr>
      </w:pPr>
      <w:r>
        <w:rPr>
          <w:rFonts w:cstheme="minorHAnsi"/>
        </w:rPr>
        <w:t>It was noted in the 2010 report</w:t>
      </w:r>
      <w:r w:rsidRPr="00BD19D7">
        <w:rPr>
          <w:rFonts w:cstheme="minorHAnsi"/>
        </w:rPr>
        <w:t xml:space="preserve"> that the principle of no</w:t>
      </w:r>
      <w:r>
        <w:rPr>
          <w:rFonts w:cstheme="minorHAnsi"/>
        </w:rPr>
        <w:t>n-discrimination as defined in A</w:t>
      </w:r>
      <w:r w:rsidRPr="00BD19D7">
        <w:rPr>
          <w:rFonts w:cstheme="minorHAnsi"/>
        </w:rPr>
        <w:t xml:space="preserve">rticle 40 of the Constitution refers only to Egyptian citizens. </w:t>
      </w:r>
      <w:r>
        <w:rPr>
          <w:rFonts w:cstheme="minorHAnsi"/>
        </w:rPr>
        <w:t>There was</w:t>
      </w:r>
      <w:r w:rsidRPr="00BD19D7">
        <w:rPr>
          <w:rFonts w:cstheme="minorHAnsi"/>
        </w:rPr>
        <w:t xml:space="preserve"> concern about reports that some migrant workers and their families suffer from discrimination in the area of employment, housing, limited access to health and education and from social stigmatization.</w:t>
      </w:r>
      <w:r>
        <w:rPr>
          <w:rFonts w:cstheme="minorHAnsi"/>
        </w:rPr>
        <w:t xml:space="preserve"> </w:t>
      </w:r>
    </w:p>
    <w:p w:rsidR="00BD19D7" w:rsidRDefault="00BD19D7" w:rsidP="00825851">
      <w:pPr>
        <w:jc w:val="both"/>
        <w:rPr>
          <w:rFonts w:cstheme="minorHAnsi"/>
        </w:rPr>
      </w:pPr>
      <w:r>
        <w:rPr>
          <w:rFonts w:cstheme="minorHAnsi"/>
        </w:rPr>
        <w:t xml:space="preserve">There were also concerns about </w:t>
      </w:r>
      <w:r w:rsidRPr="00BD19D7">
        <w:rPr>
          <w:rFonts w:cstheme="minorHAnsi"/>
        </w:rPr>
        <w:t>the massive housing problems faced by the population, as acknowledged by the delegation of Egypt. Forced evictions without alternative housing or compensation had occurred in poor communities. In Cairo</w:t>
      </w:r>
      <w:r w:rsidR="009836D7">
        <w:rPr>
          <w:rFonts w:cstheme="minorHAnsi"/>
        </w:rPr>
        <w:t>,</w:t>
      </w:r>
      <w:r w:rsidRPr="00BD19D7">
        <w:rPr>
          <w:rFonts w:cstheme="minorHAnsi"/>
        </w:rPr>
        <w:t xml:space="preserve"> people who cannot afford housi</w:t>
      </w:r>
      <w:r>
        <w:rPr>
          <w:rFonts w:cstheme="minorHAnsi"/>
        </w:rPr>
        <w:t xml:space="preserve">ng </w:t>
      </w:r>
      <w:r w:rsidR="004232A3">
        <w:rPr>
          <w:rFonts w:cstheme="minorHAnsi"/>
        </w:rPr>
        <w:t xml:space="preserve">were </w:t>
      </w:r>
      <w:r>
        <w:rPr>
          <w:rFonts w:cstheme="minorHAnsi"/>
        </w:rPr>
        <w:t xml:space="preserve">living in cemeteries. Egypt was </w:t>
      </w:r>
      <w:r w:rsidRPr="00BD19D7">
        <w:rPr>
          <w:rFonts w:cstheme="minorHAnsi"/>
        </w:rPr>
        <w:t>urged to combat the acute housing shortage by building or providing, low-cost rental housing units</w:t>
      </w:r>
      <w:r w:rsidR="004D7055">
        <w:rPr>
          <w:rFonts w:cstheme="minorHAnsi"/>
        </w:rPr>
        <w:t>.</w:t>
      </w:r>
    </w:p>
    <w:p w:rsidR="00BD19D7" w:rsidRDefault="00BD19D7" w:rsidP="00825851">
      <w:pPr>
        <w:jc w:val="both"/>
        <w:rPr>
          <w:rFonts w:cstheme="minorHAnsi"/>
        </w:rPr>
      </w:pPr>
      <w:r>
        <w:rPr>
          <w:rFonts w:cstheme="minorHAnsi"/>
        </w:rPr>
        <w:t>In the 2014 report, it was recommended that</w:t>
      </w:r>
      <w:r w:rsidRPr="00BD19D7">
        <w:rPr>
          <w:rFonts w:cstheme="minorHAnsi"/>
        </w:rPr>
        <w:t xml:space="preserve"> Egypt ensure that ownership of houses and land is formally registered; establish legal definitions for adequate housing, informal settlements and security of tenure, including with regard to the Egypt 2052 Plan; and ensure that persons affected by forced evictions have access to an adequate remedy and compensation</w:t>
      </w:r>
      <w:r>
        <w:rPr>
          <w:rFonts w:cstheme="minorHAnsi"/>
        </w:rPr>
        <w:t>.</w:t>
      </w:r>
    </w:p>
    <w:p w:rsidR="00437199" w:rsidRDefault="00437199" w:rsidP="00825851">
      <w:pPr>
        <w:jc w:val="both"/>
        <w:rPr>
          <w:rFonts w:cstheme="minorHAnsi"/>
          <w:b/>
          <w:bCs/>
          <w:i/>
        </w:rPr>
      </w:pPr>
      <w:r w:rsidRPr="00437199">
        <w:rPr>
          <w:rFonts w:cstheme="minorHAnsi"/>
          <w:b/>
          <w:bCs/>
          <w:i/>
        </w:rPr>
        <w:t>Committee on Economic, Social and Cultural Rights</w:t>
      </w:r>
      <w:r w:rsidR="003E4612">
        <w:rPr>
          <w:rFonts w:cstheme="minorHAnsi"/>
          <w:b/>
          <w:bCs/>
          <w:i/>
        </w:rPr>
        <w:t xml:space="preserve"> (2000)</w:t>
      </w:r>
      <w:r w:rsidR="00BF207E">
        <w:rPr>
          <w:rStyle w:val="FootnoteReference"/>
          <w:rFonts w:cstheme="minorHAnsi"/>
          <w:b/>
          <w:bCs/>
          <w:i/>
        </w:rPr>
        <w:footnoteReference w:id="8"/>
      </w:r>
    </w:p>
    <w:p w:rsidR="009416F2" w:rsidRDefault="00CE3053" w:rsidP="00825851">
      <w:pPr>
        <w:jc w:val="both"/>
        <w:rPr>
          <w:rFonts w:cstheme="minorHAnsi"/>
          <w:bCs/>
        </w:rPr>
      </w:pPr>
      <w:r>
        <w:rPr>
          <w:rFonts w:cstheme="minorHAnsi"/>
          <w:bCs/>
          <w:i/>
        </w:rPr>
        <w:t>The Committee specifically reviews states that have ratified the ICESCR on their compliance with the rights enshrined in it, including the Right to Adequate Housing.</w:t>
      </w:r>
    </w:p>
    <w:p w:rsidR="00437199" w:rsidRDefault="004232A3" w:rsidP="00825851">
      <w:pPr>
        <w:jc w:val="both"/>
        <w:rPr>
          <w:rFonts w:cstheme="minorHAnsi"/>
        </w:rPr>
      </w:pPr>
      <w:r>
        <w:rPr>
          <w:rFonts w:cstheme="minorHAnsi"/>
        </w:rPr>
        <w:t>The Committee w</w:t>
      </w:r>
      <w:r w:rsidR="009416F2">
        <w:rPr>
          <w:rFonts w:cstheme="minorHAnsi"/>
        </w:rPr>
        <w:t>a</w:t>
      </w:r>
      <w:r w:rsidR="009416F2" w:rsidRPr="009416F2">
        <w:rPr>
          <w:rFonts w:cstheme="minorHAnsi"/>
        </w:rPr>
        <w:t>s concerned about the massive housing problems faced by the Egyptian population, as acknowledged by the delegation of Egypt, and which have been exacerbated by the deregulation of rents and an acute shortage of low-cost housing. Furthermore, forced evictions without alternative housing or compensation being provided have been occurring in poor communities like the potters’ village and the “</w:t>
      </w:r>
      <w:proofErr w:type="spellStart"/>
      <w:r w:rsidR="009416F2" w:rsidRPr="009416F2">
        <w:rPr>
          <w:rFonts w:cstheme="minorHAnsi"/>
        </w:rPr>
        <w:t>Ayn</w:t>
      </w:r>
      <w:proofErr w:type="spellEnd"/>
      <w:r w:rsidR="009416F2" w:rsidRPr="009416F2">
        <w:rPr>
          <w:rFonts w:cstheme="minorHAnsi"/>
        </w:rPr>
        <w:t xml:space="preserve"> </w:t>
      </w:r>
      <w:proofErr w:type="spellStart"/>
      <w:r w:rsidR="009416F2" w:rsidRPr="009416F2">
        <w:rPr>
          <w:rFonts w:cstheme="minorHAnsi"/>
        </w:rPr>
        <w:t>Hilwan</w:t>
      </w:r>
      <w:proofErr w:type="spellEnd"/>
      <w:r w:rsidR="009416F2" w:rsidRPr="009416F2">
        <w:rPr>
          <w:rFonts w:cstheme="minorHAnsi"/>
        </w:rPr>
        <w:t>”</w:t>
      </w:r>
      <w:r w:rsidR="009416F2">
        <w:rPr>
          <w:rFonts w:cstheme="minorHAnsi"/>
        </w:rPr>
        <w:t xml:space="preserve"> area in Cairo. The Committee was</w:t>
      </w:r>
      <w:r w:rsidR="009416F2" w:rsidRPr="009416F2">
        <w:rPr>
          <w:rFonts w:cstheme="minorHAnsi"/>
        </w:rPr>
        <w:t xml:space="preserve"> particularly concerned that in Cairo people who cannot afford housing </w:t>
      </w:r>
      <w:r>
        <w:rPr>
          <w:rFonts w:cstheme="minorHAnsi"/>
        </w:rPr>
        <w:t xml:space="preserve">were </w:t>
      </w:r>
      <w:r w:rsidR="009416F2" w:rsidRPr="009416F2">
        <w:rPr>
          <w:rFonts w:cstheme="minorHAnsi"/>
        </w:rPr>
        <w:t xml:space="preserve">living in cemeteries. </w:t>
      </w:r>
      <w:r w:rsidR="00641134">
        <w:rPr>
          <w:rFonts w:cstheme="minorHAnsi"/>
        </w:rPr>
        <w:t xml:space="preserve"> </w:t>
      </w:r>
    </w:p>
    <w:p w:rsidR="009416F2" w:rsidRDefault="009416F2" w:rsidP="00825851">
      <w:pPr>
        <w:jc w:val="both"/>
        <w:rPr>
          <w:rFonts w:cstheme="minorHAnsi"/>
          <w:bCs/>
        </w:rPr>
      </w:pPr>
      <w:r w:rsidRPr="009416F2">
        <w:rPr>
          <w:rFonts w:cstheme="minorHAnsi"/>
          <w:bCs/>
        </w:rPr>
        <w:t>The Commit</w:t>
      </w:r>
      <w:r>
        <w:rPr>
          <w:rFonts w:cstheme="minorHAnsi"/>
          <w:bCs/>
        </w:rPr>
        <w:t>tee strongly urged Egypt</w:t>
      </w:r>
      <w:r w:rsidRPr="009416F2">
        <w:rPr>
          <w:rFonts w:cstheme="minorHAnsi"/>
          <w:bCs/>
        </w:rPr>
        <w:t xml:space="preserve"> to seek assistance, including international cooperation, in order to collect the statistics and information necessary to formulate effective strategies to address problem areas such as unemployment, poverty, housing and forced evictions.</w:t>
      </w:r>
    </w:p>
    <w:p w:rsidR="009416F2" w:rsidRPr="009416F2" w:rsidRDefault="009416F2" w:rsidP="00825851">
      <w:pPr>
        <w:jc w:val="both"/>
        <w:rPr>
          <w:rFonts w:cstheme="minorHAnsi"/>
          <w:bCs/>
        </w:rPr>
      </w:pPr>
      <w:r>
        <w:rPr>
          <w:rFonts w:cstheme="minorHAnsi"/>
          <w:bCs/>
        </w:rPr>
        <w:t>The Committee also urged</w:t>
      </w:r>
      <w:r w:rsidRPr="009416F2">
        <w:rPr>
          <w:rFonts w:cstheme="minorHAnsi"/>
          <w:bCs/>
        </w:rPr>
        <w:t xml:space="preserve"> </w:t>
      </w:r>
      <w:r>
        <w:rPr>
          <w:rFonts w:cstheme="minorHAnsi"/>
          <w:bCs/>
        </w:rPr>
        <w:t>Egypt</w:t>
      </w:r>
      <w:r w:rsidRPr="009416F2">
        <w:rPr>
          <w:rFonts w:cstheme="minorHAnsi"/>
          <w:bCs/>
        </w:rPr>
        <w:t xml:space="preserve"> to combat the acute housing shortage by adopting a strategy and a plan of action and by building or providing, low-cost rental housing units, especially for </w:t>
      </w:r>
      <w:r>
        <w:rPr>
          <w:rFonts w:cstheme="minorHAnsi"/>
          <w:bCs/>
        </w:rPr>
        <w:t>groups in vulnerable situations</w:t>
      </w:r>
      <w:r w:rsidRPr="009416F2">
        <w:rPr>
          <w:rFonts w:cstheme="minorHAnsi"/>
          <w:bCs/>
        </w:rPr>
        <w:t>. In this connection, the Committee</w:t>
      </w:r>
      <w:r>
        <w:t xml:space="preserve"> </w:t>
      </w:r>
      <w:r w:rsidRPr="009416F2">
        <w:rPr>
          <w:rFonts w:cstheme="minorHAnsi"/>
          <w:bCs/>
        </w:rPr>
        <w:t>remind</w:t>
      </w:r>
      <w:r>
        <w:rPr>
          <w:rFonts w:cstheme="minorHAnsi"/>
          <w:bCs/>
        </w:rPr>
        <w:t xml:space="preserve">ed Egypt </w:t>
      </w:r>
      <w:r w:rsidRPr="009416F2">
        <w:rPr>
          <w:rFonts w:cstheme="minorHAnsi"/>
          <w:bCs/>
        </w:rPr>
        <w:t>of its obligations under article 11 of the Covenant and refers to its General Comments No. 4 on the right to adequate housing and No. 7 on forced evictions, to guide the Government’s housing policies</w:t>
      </w:r>
    </w:p>
    <w:p w:rsidR="00825851" w:rsidRDefault="007464A5" w:rsidP="00F56B24">
      <w:pPr>
        <w:jc w:val="both"/>
        <w:rPr>
          <w:b/>
          <w:i/>
        </w:rPr>
      </w:pPr>
      <w:r w:rsidRPr="007464A5">
        <w:rPr>
          <w:b/>
          <w:i/>
        </w:rPr>
        <w:lastRenderedPageBreak/>
        <w:t>United Nations Country Team (UNCT)</w:t>
      </w:r>
      <w:r w:rsidR="00BF207E">
        <w:rPr>
          <w:rStyle w:val="FootnoteReference"/>
          <w:b/>
          <w:i/>
        </w:rPr>
        <w:footnoteReference w:id="9"/>
      </w:r>
    </w:p>
    <w:p w:rsidR="000B5A30" w:rsidRDefault="000B5A30" w:rsidP="00F56B24">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FD5F44" w:rsidRPr="007E507D" w:rsidRDefault="00077104" w:rsidP="00F56B24">
      <w:pPr>
        <w:jc w:val="both"/>
      </w:pPr>
      <w:r>
        <w:t>N</w:t>
      </w:r>
      <w:r w:rsidR="00FD5F44" w:rsidRPr="007E507D">
        <w:t xml:space="preserve">o relevant information on the right to adequate housing could be sourced. </w:t>
      </w:r>
    </w:p>
    <w:p w:rsidR="007464A5" w:rsidRPr="007464A5" w:rsidRDefault="007464A5" w:rsidP="009416F2">
      <w:pPr>
        <w:jc w:val="both"/>
        <w:rPr>
          <w:rFonts w:cstheme="minorHAnsi"/>
          <w:b/>
          <w:i/>
        </w:rPr>
      </w:pPr>
      <w:r w:rsidRPr="007464A5">
        <w:rPr>
          <w:rFonts w:cstheme="minorHAnsi"/>
          <w:b/>
          <w:i/>
        </w:rPr>
        <w:t>United Nations Development Assistance Framework (UNDAF)</w:t>
      </w:r>
      <w:r w:rsidR="00BF207E">
        <w:rPr>
          <w:rStyle w:val="FootnoteReference"/>
          <w:rFonts w:cstheme="minorHAnsi"/>
          <w:b/>
          <w:i/>
        </w:rPr>
        <w:footnoteReference w:id="10"/>
      </w:r>
    </w:p>
    <w:p w:rsidR="00EA4EBB" w:rsidRDefault="000B5A30" w:rsidP="00F56B24">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The UNDAF forms the overall framework for the UNCT’s work between 201</w:t>
      </w:r>
      <w:r w:rsidR="009416F2">
        <w:rPr>
          <w:i/>
        </w:rPr>
        <w:t>3</w:t>
      </w:r>
      <w:r w:rsidR="007464A5" w:rsidRPr="000B5A30">
        <w:rPr>
          <w:i/>
        </w:rPr>
        <w:t xml:space="preserve"> and 201</w:t>
      </w:r>
      <w:r w:rsidR="009416F2">
        <w:rPr>
          <w:i/>
        </w:rPr>
        <w:t>7</w:t>
      </w:r>
      <w:r w:rsidR="007464A5" w:rsidRPr="000B5A30">
        <w:rPr>
          <w:i/>
        </w:rPr>
        <w:t>.</w:t>
      </w:r>
    </w:p>
    <w:p w:rsidR="00232DF6" w:rsidRDefault="00232DF6" w:rsidP="00232DF6">
      <w:pPr>
        <w:jc w:val="both"/>
      </w:pPr>
      <w:r>
        <w:t>The analysis</w:t>
      </w:r>
      <w:r w:rsidRPr="00232DF6">
        <w:t xml:space="preserve"> showed that with an average of 700 litres of water per head, Egypt is now considered ‘water poor,’ and faces challenges related to poor sanitation, health coverage, and housing for the poor.</w:t>
      </w:r>
    </w:p>
    <w:p w:rsidR="008F5678" w:rsidRDefault="00232DF6" w:rsidP="00232DF6">
      <w:pPr>
        <w:jc w:val="both"/>
      </w:pPr>
      <w:r>
        <w:t>‘</w:t>
      </w:r>
      <w:r w:rsidR="009416F2" w:rsidRPr="009416F2">
        <w:t>UNDAF Outcome 1.1: Government is operating with efficient and adequately resourced mechanisms of awareness creation, equitable targeting, delivering and monitoring of social protection services and access to adequate and affordable housing, for children, young people, rural women, elderly and other vulnerable groups</w:t>
      </w:r>
      <w:r>
        <w:t>.’</w:t>
      </w:r>
      <w:r w:rsidR="009416F2">
        <w:t xml:space="preserve"> </w:t>
      </w:r>
    </w:p>
    <w:p w:rsidR="00FD5F44" w:rsidRDefault="00FD5F44" w:rsidP="002250DD">
      <w:pPr>
        <w:rPr>
          <w:b/>
          <w:sz w:val="28"/>
        </w:rPr>
      </w:pPr>
    </w:p>
    <w:p w:rsidR="001158E4" w:rsidRDefault="001158E4" w:rsidP="002250DD">
      <w:pPr>
        <w:rPr>
          <w:b/>
          <w:sz w:val="28"/>
        </w:rPr>
      </w:pPr>
      <w:r w:rsidRPr="001B7B83">
        <w:rPr>
          <w:b/>
          <w:sz w:val="28"/>
        </w:rPr>
        <w:t>UN-Habitat</w:t>
      </w:r>
      <w:r w:rsidR="00B33886">
        <w:rPr>
          <w:rStyle w:val="FootnoteReference"/>
          <w:b/>
          <w:sz w:val="28"/>
        </w:rPr>
        <w:footnoteReference w:id="11"/>
      </w:r>
    </w:p>
    <w:p w:rsidR="008F5678" w:rsidRPr="00641134" w:rsidRDefault="00860FA2" w:rsidP="00077104">
      <w:pPr>
        <w:jc w:val="both"/>
        <w:rPr>
          <w:bCs/>
        </w:rPr>
      </w:pPr>
      <w:r>
        <w:rPr>
          <w:rFonts w:eastAsia="Times New Roman" w:cstheme="minorHAnsi"/>
          <w:color w:val="000000"/>
          <w:lang w:eastAsia="en-AU"/>
        </w:rPr>
        <w:t xml:space="preserve">UN-Habitat has worked on a number of projects in </w:t>
      </w:r>
      <w:r w:rsidR="008F5678">
        <w:rPr>
          <w:rFonts w:eastAsia="Times New Roman" w:cstheme="minorHAnsi"/>
          <w:color w:val="000000"/>
          <w:lang w:eastAsia="en-AU"/>
        </w:rPr>
        <w:t>Egypt</w:t>
      </w:r>
      <w:r w:rsidR="00077104">
        <w:rPr>
          <w:rFonts w:eastAsia="Times New Roman" w:cstheme="minorHAnsi"/>
          <w:color w:val="000000"/>
          <w:lang w:eastAsia="en-AU"/>
        </w:rPr>
        <w:t>.</w:t>
      </w:r>
      <w:r w:rsidR="00FD5F44">
        <w:rPr>
          <w:rFonts w:eastAsia="Times New Roman" w:cstheme="minorHAnsi"/>
          <w:szCs w:val="24"/>
          <w:lang w:eastAsia="en-AU"/>
        </w:rPr>
        <w:t xml:space="preserve"> </w:t>
      </w:r>
      <w:r w:rsidR="008F5678" w:rsidRPr="00641134">
        <w:rPr>
          <w:bCs/>
        </w:rPr>
        <w:t>UN-Habitat projects in Egypt</w:t>
      </w:r>
      <w:r w:rsidR="00641134">
        <w:rPr>
          <w:bCs/>
        </w:rPr>
        <w:t xml:space="preserve"> include</w:t>
      </w:r>
      <w:r w:rsidR="00641134" w:rsidRPr="00641134">
        <w:rPr>
          <w:bCs/>
        </w:rPr>
        <w:t>:</w:t>
      </w:r>
    </w:p>
    <w:p w:rsidR="008F5678" w:rsidRDefault="008F5678" w:rsidP="008F5678">
      <w:pPr>
        <w:jc w:val="both"/>
        <w:rPr>
          <w:bCs/>
          <w:u w:val="single"/>
        </w:rPr>
      </w:pPr>
      <w:r w:rsidRPr="008F5678">
        <w:rPr>
          <w:b/>
          <w:bCs/>
          <w:u w:val="single"/>
        </w:rPr>
        <w:t>Strategic Urban Development Plan for Greater Cairo Region</w:t>
      </w:r>
      <w:r w:rsidRPr="008F5678">
        <w:rPr>
          <w:bCs/>
          <w:u w:val="single"/>
        </w:rPr>
        <w:t> </w:t>
      </w:r>
    </w:p>
    <w:p w:rsidR="00F01948" w:rsidRDefault="008F5678" w:rsidP="00F01948">
      <w:pPr>
        <w:jc w:val="both"/>
        <w:rPr>
          <w:bCs/>
        </w:rPr>
      </w:pPr>
      <w:r w:rsidRPr="008F5678">
        <w:rPr>
          <w:bCs/>
        </w:rPr>
        <w:t>UN-Habitat supports G</w:t>
      </w:r>
      <w:r w:rsidR="007377B6">
        <w:rPr>
          <w:bCs/>
        </w:rPr>
        <w:t xml:space="preserve">eneral </w:t>
      </w:r>
      <w:r w:rsidRPr="008F5678">
        <w:rPr>
          <w:bCs/>
        </w:rPr>
        <w:t>O</w:t>
      </w:r>
      <w:r w:rsidR="007377B6">
        <w:rPr>
          <w:bCs/>
        </w:rPr>
        <w:t xml:space="preserve">rganization of </w:t>
      </w:r>
      <w:r w:rsidRPr="008F5678">
        <w:rPr>
          <w:bCs/>
        </w:rPr>
        <w:t>P</w:t>
      </w:r>
      <w:r w:rsidR="007377B6">
        <w:rPr>
          <w:bCs/>
        </w:rPr>
        <w:t xml:space="preserve">hysical </w:t>
      </w:r>
      <w:r w:rsidRPr="008F5678">
        <w:rPr>
          <w:bCs/>
        </w:rPr>
        <w:t>P</w:t>
      </w:r>
      <w:r w:rsidR="007377B6">
        <w:rPr>
          <w:bCs/>
        </w:rPr>
        <w:t>lanning (GOPP)</w:t>
      </w:r>
      <w:r w:rsidRPr="008F5678">
        <w:rPr>
          <w:bCs/>
        </w:rPr>
        <w:t xml:space="preserve"> in preparing the vision and strategic urban development plan for the </w:t>
      </w:r>
      <w:r w:rsidR="00053B8F">
        <w:rPr>
          <w:bCs/>
        </w:rPr>
        <w:t>Greater Cairo R</w:t>
      </w:r>
      <w:r w:rsidRPr="008F5678">
        <w:rPr>
          <w:bCs/>
        </w:rPr>
        <w:t xml:space="preserve">egion and its affiliated mega cities. The project adopts a decentralized and integrated approach to address urban development and land management issues, as well as identify urgent socio-economic and environmental concerns. </w:t>
      </w:r>
      <w:r w:rsidR="00641134">
        <w:rPr>
          <w:bCs/>
        </w:rPr>
        <w:t xml:space="preserve"> </w:t>
      </w:r>
      <w:r w:rsidR="00F01948">
        <w:rPr>
          <w:bCs/>
        </w:rPr>
        <w:t>The project utilizes s</w:t>
      </w:r>
      <w:r w:rsidR="00F01948" w:rsidRPr="00EC0381">
        <w:rPr>
          <w:bCs/>
        </w:rPr>
        <w:t xml:space="preserve">ustainable human development-oriented strategies </w:t>
      </w:r>
      <w:r w:rsidR="00F01948">
        <w:rPr>
          <w:bCs/>
        </w:rPr>
        <w:t>which take</w:t>
      </w:r>
      <w:r w:rsidR="00F01948" w:rsidRPr="00EC0381">
        <w:rPr>
          <w:bCs/>
        </w:rPr>
        <w:t xml:space="preserve"> into consideration the</w:t>
      </w:r>
      <w:r w:rsidR="00F01948">
        <w:rPr>
          <w:bCs/>
        </w:rPr>
        <w:t xml:space="preserve"> needs of residents,</w:t>
      </w:r>
      <w:r w:rsidR="00F01948" w:rsidRPr="00EC0381">
        <w:rPr>
          <w:bCs/>
        </w:rPr>
        <w:t xml:space="preserve"> the spatial identity and idiosyncrasy of the region</w:t>
      </w:r>
      <w:r w:rsidR="00F01948">
        <w:rPr>
          <w:bCs/>
        </w:rPr>
        <w:t xml:space="preserve">. </w:t>
      </w:r>
      <w:r w:rsidR="00F01948" w:rsidRPr="00EC0381">
        <w:rPr>
          <w:bCs/>
        </w:rPr>
        <w:t xml:space="preserve">The project </w:t>
      </w:r>
      <w:r w:rsidR="00F01948">
        <w:rPr>
          <w:bCs/>
        </w:rPr>
        <w:t xml:space="preserve">achieves an adequate </w:t>
      </w:r>
      <w:r w:rsidR="00F01948" w:rsidRPr="00EC0381">
        <w:rPr>
          <w:bCs/>
        </w:rPr>
        <w:t>distribution of population, activities, and services that fulfill the needs of a growing population.</w:t>
      </w:r>
    </w:p>
    <w:p w:rsidR="00F01948" w:rsidRDefault="00F01948" w:rsidP="00F01948">
      <w:pPr>
        <w:jc w:val="both"/>
        <w:rPr>
          <w:bCs/>
        </w:rPr>
      </w:pPr>
    </w:p>
    <w:p w:rsidR="00F01948" w:rsidRDefault="00F01948" w:rsidP="00F01948">
      <w:pPr>
        <w:jc w:val="both"/>
        <w:rPr>
          <w:bCs/>
        </w:rPr>
      </w:pPr>
    </w:p>
    <w:p w:rsidR="00053B8F" w:rsidRDefault="00F01948">
      <w:pPr>
        <w:jc w:val="both"/>
        <w:rPr>
          <w:bCs/>
        </w:rPr>
      </w:pPr>
      <w:r>
        <w:rPr>
          <w:bCs/>
        </w:rPr>
        <w:t>This urban development plan is a c</w:t>
      </w:r>
      <w:r w:rsidRPr="00EC0381">
        <w:rPr>
          <w:bCs/>
        </w:rPr>
        <w:t>ompr</w:t>
      </w:r>
      <w:r>
        <w:rPr>
          <w:bCs/>
        </w:rPr>
        <w:t>ehensive development framework focused on keeping</w:t>
      </w:r>
      <w:r w:rsidRPr="00EC0381">
        <w:rPr>
          <w:bCs/>
        </w:rPr>
        <w:t xml:space="preserve"> minimum negative socio-economic impact</w:t>
      </w:r>
      <w:r>
        <w:rPr>
          <w:bCs/>
        </w:rPr>
        <w:t xml:space="preserve"> and bridges </w:t>
      </w:r>
      <w:r w:rsidRPr="00EC0381">
        <w:rPr>
          <w:bCs/>
        </w:rPr>
        <w:t>community trust and accountability through comprehensive participato</w:t>
      </w:r>
      <w:r>
        <w:rPr>
          <w:bCs/>
        </w:rPr>
        <w:t>ry planning process.</w:t>
      </w:r>
      <w:r w:rsidRPr="00EC0381">
        <w:rPr>
          <w:bCs/>
        </w:rPr>
        <w:t xml:space="preserve"> </w:t>
      </w:r>
    </w:p>
    <w:p w:rsidR="008F5678" w:rsidRDefault="008F5678" w:rsidP="008F5678">
      <w:pPr>
        <w:jc w:val="both"/>
        <w:rPr>
          <w:bCs/>
          <w:u w:val="single"/>
        </w:rPr>
      </w:pPr>
      <w:r>
        <w:rPr>
          <w:b/>
          <w:bCs/>
          <w:u w:val="single"/>
        </w:rPr>
        <w:t>S</w:t>
      </w:r>
      <w:r w:rsidRPr="008F5678">
        <w:rPr>
          <w:b/>
          <w:bCs/>
          <w:u w:val="single"/>
        </w:rPr>
        <w:t>trategic Urban Planning for Small Cities in Egypt</w:t>
      </w:r>
      <w:r w:rsidRPr="008F5678">
        <w:rPr>
          <w:bCs/>
          <w:u w:val="single"/>
        </w:rPr>
        <w:t> </w:t>
      </w:r>
    </w:p>
    <w:p w:rsidR="004729C3" w:rsidRPr="008F5678" w:rsidRDefault="008F5678" w:rsidP="008F5678">
      <w:pPr>
        <w:jc w:val="both"/>
        <w:rPr>
          <w:bCs/>
        </w:rPr>
      </w:pPr>
      <w:r w:rsidRPr="008F5678">
        <w:rPr>
          <w:bCs/>
        </w:rPr>
        <w:t>The project aims to enhance the planning methods and tools adopted by the Government of Egypt in order to produce strategic urban plans</w:t>
      </w:r>
      <w:r w:rsidR="00F96A3B">
        <w:rPr>
          <w:bCs/>
        </w:rPr>
        <w:t xml:space="preserve"> for 70 small cities</w:t>
      </w:r>
      <w:r w:rsidRPr="008F5678">
        <w:rPr>
          <w:bCs/>
        </w:rPr>
        <w:t xml:space="preserve">, responding efficiently and realistically to local priorities. </w:t>
      </w:r>
      <w:r w:rsidR="004729C3">
        <w:rPr>
          <w:bCs/>
        </w:rPr>
        <w:t>The plans</w:t>
      </w:r>
      <w:r w:rsidR="00F96A3B">
        <w:rPr>
          <w:bCs/>
        </w:rPr>
        <w:t xml:space="preserve"> focus on three key dimensions: </w:t>
      </w:r>
      <w:r w:rsidR="002D020F" w:rsidRPr="00EC0381">
        <w:rPr>
          <w:bCs/>
        </w:rPr>
        <w:t>urban-rural linkages to develop rural small and medium enterprises</w:t>
      </w:r>
      <w:r w:rsidR="00F96A3B">
        <w:rPr>
          <w:bCs/>
        </w:rPr>
        <w:t xml:space="preserve">, </w:t>
      </w:r>
      <w:r w:rsidR="002D020F" w:rsidRPr="00EC0381">
        <w:rPr>
          <w:bCs/>
        </w:rPr>
        <w:t xml:space="preserve">sanitation issues including wastewater and solid waste management; and on improving the living conditions of slum dwellers. The project </w:t>
      </w:r>
      <w:r w:rsidR="002D020F">
        <w:rPr>
          <w:bCs/>
        </w:rPr>
        <w:t>e</w:t>
      </w:r>
      <w:r w:rsidR="002D020F" w:rsidRPr="00EC0381">
        <w:rPr>
          <w:bCs/>
        </w:rPr>
        <w:t xml:space="preserve">ffectively </w:t>
      </w:r>
      <w:r w:rsidR="00F96A3B">
        <w:rPr>
          <w:bCs/>
        </w:rPr>
        <w:t xml:space="preserve">identifies cross cutting themes, specifically governance and </w:t>
      </w:r>
      <w:r w:rsidR="002D020F" w:rsidRPr="00EC0381">
        <w:rPr>
          <w:bCs/>
        </w:rPr>
        <w:t xml:space="preserve">the needs of </w:t>
      </w:r>
      <w:r w:rsidR="004729C3">
        <w:rPr>
          <w:bCs/>
        </w:rPr>
        <w:t xml:space="preserve">people in situations of vulnerability </w:t>
      </w:r>
      <w:r w:rsidR="002D020F" w:rsidRPr="00EC0381">
        <w:rPr>
          <w:bCs/>
        </w:rPr>
        <w:t>and environmental issues</w:t>
      </w:r>
      <w:r w:rsidR="00F96A3B">
        <w:rPr>
          <w:bCs/>
        </w:rPr>
        <w:t xml:space="preserve"> which</w:t>
      </w:r>
      <w:r w:rsidR="002D020F" w:rsidRPr="00EC0381">
        <w:rPr>
          <w:bCs/>
        </w:rPr>
        <w:t xml:space="preserve"> require special attention</w:t>
      </w:r>
      <w:r w:rsidR="002D020F">
        <w:rPr>
          <w:bCs/>
        </w:rPr>
        <w:t xml:space="preserve"> at both planning and implementation level</w:t>
      </w:r>
      <w:r w:rsidR="002D020F" w:rsidRPr="00EC0381">
        <w:rPr>
          <w:bCs/>
        </w:rPr>
        <w:t>.</w:t>
      </w:r>
      <w:r w:rsidR="00F96A3B">
        <w:rPr>
          <w:bCs/>
        </w:rPr>
        <w:t xml:space="preserve"> Another key component of the project is supporting </w:t>
      </w:r>
      <w:r w:rsidR="002D020F" w:rsidRPr="00EC0381">
        <w:rPr>
          <w:bCs/>
        </w:rPr>
        <w:t>both national government to define national urban planning/development policies and performance standards, and local government in building land information management capacity.</w:t>
      </w:r>
    </w:p>
    <w:p w:rsidR="008F5678" w:rsidRDefault="008F5678" w:rsidP="008F5678">
      <w:pPr>
        <w:jc w:val="both"/>
        <w:rPr>
          <w:bCs/>
          <w:u w:val="single"/>
        </w:rPr>
      </w:pPr>
      <w:r w:rsidRPr="008F5678">
        <w:rPr>
          <w:b/>
          <w:bCs/>
          <w:u w:val="single"/>
        </w:rPr>
        <w:t>Achieving Sustainable Urban Development Priorities (ASUD)</w:t>
      </w:r>
      <w:r w:rsidRPr="008F5678">
        <w:rPr>
          <w:bCs/>
          <w:u w:val="single"/>
        </w:rPr>
        <w:t> </w:t>
      </w:r>
    </w:p>
    <w:p w:rsidR="007F117F" w:rsidRPr="008F5678" w:rsidRDefault="00401EE3" w:rsidP="008F5678">
      <w:pPr>
        <w:jc w:val="both"/>
        <w:rPr>
          <w:bCs/>
        </w:rPr>
      </w:pPr>
      <w:r w:rsidRPr="008F5678">
        <w:rPr>
          <w:bCs/>
        </w:rPr>
        <w:t xml:space="preserve">The project addresses capacity enhancement in the fields of </w:t>
      </w:r>
      <w:r>
        <w:rPr>
          <w:bCs/>
        </w:rPr>
        <w:t xml:space="preserve">planning </w:t>
      </w:r>
      <w:r w:rsidRPr="008F5678">
        <w:rPr>
          <w:bCs/>
        </w:rPr>
        <w:t xml:space="preserve">urban </w:t>
      </w:r>
      <w:r>
        <w:rPr>
          <w:bCs/>
        </w:rPr>
        <w:t>expansion areas in existing areas and new cities.</w:t>
      </w:r>
      <w:r w:rsidRPr="00EC0381">
        <w:rPr>
          <w:bCs/>
        </w:rPr>
        <w:t xml:space="preserve"> The </w:t>
      </w:r>
      <w:r>
        <w:rPr>
          <w:bCs/>
        </w:rPr>
        <w:t>project u</w:t>
      </w:r>
      <w:r w:rsidRPr="00EC0381">
        <w:rPr>
          <w:bCs/>
        </w:rPr>
        <w:t>tiliz</w:t>
      </w:r>
      <w:r>
        <w:rPr>
          <w:bCs/>
        </w:rPr>
        <w:t xml:space="preserve">es a </w:t>
      </w:r>
      <w:r w:rsidRPr="00EC0381">
        <w:rPr>
          <w:bCs/>
        </w:rPr>
        <w:t>town planning methodology that secures broad social inclusion for lo</w:t>
      </w:r>
      <w:r>
        <w:rPr>
          <w:bCs/>
        </w:rPr>
        <w:t>cal communities. It also undertakes a critical examination of</w:t>
      </w:r>
      <w:r w:rsidRPr="00EC0381">
        <w:rPr>
          <w:bCs/>
        </w:rPr>
        <w:t xml:space="preserve"> Egyptian New Communities and </w:t>
      </w:r>
      <w:r>
        <w:rPr>
          <w:bCs/>
        </w:rPr>
        <w:t>identifies key lessons learned for developing new cities</w:t>
      </w:r>
      <w:r w:rsidRPr="00EC0381">
        <w:rPr>
          <w:bCs/>
        </w:rPr>
        <w:t xml:space="preserve">. The </w:t>
      </w:r>
      <w:r>
        <w:rPr>
          <w:bCs/>
        </w:rPr>
        <w:t>project presents</w:t>
      </w:r>
      <w:r w:rsidRPr="00EC0381">
        <w:rPr>
          <w:bCs/>
        </w:rPr>
        <w:t xml:space="preserve"> long and medium term development strategies and short term interventions th</w:t>
      </w:r>
      <w:r>
        <w:rPr>
          <w:bCs/>
        </w:rPr>
        <w:t xml:space="preserve">at are in line with national priorities and reflect </w:t>
      </w:r>
      <w:r w:rsidRPr="00EC0381">
        <w:rPr>
          <w:bCs/>
        </w:rPr>
        <w:t>UN-Habitat</w:t>
      </w:r>
      <w:r>
        <w:rPr>
          <w:bCs/>
        </w:rPr>
        <w:t>’s Principles. Furthermore the project has integrated an urban economy component in the planning process to ensure that the new city (</w:t>
      </w:r>
      <w:r w:rsidR="00EB7175">
        <w:rPr>
          <w:bCs/>
        </w:rPr>
        <w:t>A</w:t>
      </w:r>
      <w:r w:rsidR="004729C3">
        <w:rPr>
          <w:bCs/>
        </w:rPr>
        <w:t>l</w:t>
      </w:r>
      <w:r>
        <w:rPr>
          <w:bCs/>
        </w:rPr>
        <w:t xml:space="preserve"> Alamein) has a sound economic base. </w:t>
      </w:r>
      <w:r w:rsidR="008F5678" w:rsidRPr="008F5678">
        <w:rPr>
          <w:bCs/>
        </w:rPr>
        <w:t>It address</w:t>
      </w:r>
      <w:r w:rsidR="007377B6">
        <w:rPr>
          <w:bCs/>
        </w:rPr>
        <w:t>es</w:t>
      </w:r>
      <w:r w:rsidR="008F5678" w:rsidRPr="008F5678">
        <w:rPr>
          <w:bCs/>
        </w:rPr>
        <w:t xml:space="preserve"> the issues of lack of capacities in land legislation and management</w:t>
      </w:r>
      <w:r>
        <w:rPr>
          <w:bCs/>
        </w:rPr>
        <w:t xml:space="preserve">. </w:t>
      </w:r>
      <w:r w:rsidR="008F5678" w:rsidRPr="008F5678">
        <w:rPr>
          <w:bCs/>
        </w:rPr>
        <w:t xml:space="preserve">On the national policy level, the project will inform the national urban policy and respectively enhance planning systems in Egypt. </w:t>
      </w:r>
      <w:r w:rsidR="00641134">
        <w:rPr>
          <w:bCs/>
        </w:rPr>
        <w:t xml:space="preserve"> </w:t>
      </w:r>
      <w:r w:rsidR="00053B8F">
        <w:rPr>
          <w:bCs/>
        </w:rPr>
        <w:t xml:space="preserve"> The project also tackled the issue of urban expansion and piloted land readjustment methodology in Banha with the aim of </w:t>
      </w:r>
      <w:proofErr w:type="gramStart"/>
      <w:r w:rsidR="00053B8F">
        <w:rPr>
          <w:bCs/>
        </w:rPr>
        <w:t>providing  a</w:t>
      </w:r>
      <w:proofErr w:type="gramEnd"/>
      <w:r w:rsidR="00053B8F">
        <w:rPr>
          <w:bCs/>
        </w:rPr>
        <w:t xml:space="preserve"> feasible mechanism for sustainable planning of urban expansion areas.</w:t>
      </w:r>
    </w:p>
    <w:p w:rsidR="008F5678" w:rsidRDefault="008F5678" w:rsidP="008F5678">
      <w:pPr>
        <w:jc w:val="both"/>
        <w:rPr>
          <w:bCs/>
          <w:u w:val="single"/>
        </w:rPr>
      </w:pPr>
      <w:r w:rsidRPr="008F5678">
        <w:rPr>
          <w:b/>
          <w:bCs/>
          <w:u w:val="single"/>
        </w:rPr>
        <w:t xml:space="preserve">Safer Cities Free of Violence </w:t>
      </w:r>
      <w:proofErr w:type="gramStart"/>
      <w:r w:rsidRPr="008F5678">
        <w:rPr>
          <w:b/>
          <w:bCs/>
          <w:u w:val="single"/>
        </w:rPr>
        <w:t>Against</w:t>
      </w:r>
      <w:proofErr w:type="gramEnd"/>
      <w:r w:rsidRPr="008F5678">
        <w:rPr>
          <w:b/>
          <w:bCs/>
          <w:u w:val="single"/>
        </w:rPr>
        <w:t xml:space="preserve"> Women and Girls</w:t>
      </w:r>
      <w:r w:rsidRPr="008F5678">
        <w:rPr>
          <w:bCs/>
          <w:u w:val="single"/>
        </w:rPr>
        <w:t> </w:t>
      </w:r>
    </w:p>
    <w:p w:rsidR="003C71F7" w:rsidRPr="00951AE4" w:rsidRDefault="00F263AE" w:rsidP="00951AE4">
      <w:pPr>
        <w:pStyle w:val="Default"/>
        <w:spacing w:line="276" w:lineRule="auto"/>
        <w:jc w:val="both"/>
        <w:rPr>
          <w:rFonts w:asciiTheme="minorHAnsi" w:hAnsiTheme="minorHAnsi" w:cstheme="minorBidi"/>
          <w:bCs/>
          <w:color w:val="auto"/>
          <w:sz w:val="22"/>
          <w:szCs w:val="22"/>
        </w:rPr>
      </w:pPr>
      <w:r w:rsidRPr="00951AE4">
        <w:rPr>
          <w:rFonts w:asciiTheme="minorHAnsi" w:hAnsiTheme="minorHAnsi" w:cstheme="minorBidi"/>
          <w:bCs/>
          <w:color w:val="auto"/>
          <w:sz w:val="22"/>
          <w:szCs w:val="22"/>
        </w:rPr>
        <w:t>This project</w:t>
      </w:r>
      <w:r w:rsidR="003C71F7">
        <w:rPr>
          <w:rFonts w:asciiTheme="minorHAnsi" w:hAnsiTheme="minorHAnsi" w:cstheme="minorBidi"/>
          <w:bCs/>
          <w:color w:val="auto"/>
          <w:sz w:val="22"/>
          <w:szCs w:val="22"/>
        </w:rPr>
        <w:t xml:space="preserve"> started in June 2012 </w:t>
      </w:r>
      <w:proofErr w:type="gramStart"/>
      <w:r w:rsidR="003C71F7">
        <w:rPr>
          <w:rFonts w:asciiTheme="minorHAnsi" w:hAnsiTheme="minorHAnsi" w:cstheme="minorBidi"/>
          <w:bCs/>
          <w:color w:val="auto"/>
          <w:sz w:val="22"/>
          <w:szCs w:val="22"/>
        </w:rPr>
        <w:t xml:space="preserve">and  </w:t>
      </w:r>
      <w:r w:rsidRPr="00951AE4">
        <w:rPr>
          <w:rFonts w:asciiTheme="minorHAnsi" w:hAnsiTheme="minorHAnsi" w:cstheme="minorBidi"/>
          <w:bCs/>
          <w:color w:val="auto"/>
          <w:sz w:val="22"/>
          <w:szCs w:val="22"/>
        </w:rPr>
        <w:t>was</w:t>
      </w:r>
      <w:proofErr w:type="gramEnd"/>
      <w:r w:rsidRPr="00951AE4">
        <w:rPr>
          <w:rFonts w:asciiTheme="minorHAnsi" w:hAnsiTheme="minorHAnsi" w:cstheme="minorBidi"/>
          <w:bCs/>
          <w:color w:val="auto"/>
          <w:sz w:val="22"/>
          <w:szCs w:val="22"/>
        </w:rPr>
        <w:t xml:space="preserve"> completed in May 2013</w:t>
      </w:r>
      <w:r w:rsidR="003C71F7">
        <w:rPr>
          <w:rFonts w:asciiTheme="minorHAnsi" w:hAnsiTheme="minorHAnsi" w:cstheme="minorBidi"/>
          <w:bCs/>
          <w:color w:val="auto"/>
          <w:sz w:val="22"/>
          <w:szCs w:val="22"/>
        </w:rPr>
        <w:t xml:space="preserve">. </w:t>
      </w:r>
      <w:proofErr w:type="gramStart"/>
      <w:r w:rsidR="003C71F7">
        <w:rPr>
          <w:rFonts w:asciiTheme="minorHAnsi" w:hAnsiTheme="minorHAnsi" w:cstheme="minorBidi"/>
          <w:bCs/>
          <w:color w:val="auto"/>
          <w:sz w:val="22"/>
          <w:szCs w:val="22"/>
        </w:rPr>
        <w:t xml:space="preserve">It </w:t>
      </w:r>
      <w:r w:rsidRPr="00951AE4">
        <w:rPr>
          <w:rFonts w:asciiTheme="minorHAnsi" w:hAnsiTheme="minorHAnsi" w:cstheme="minorBidi"/>
          <w:bCs/>
          <w:color w:val="auto"/>
          <w:sz w:val="22"/>
          <w:szCs w:val="22"/>
        </w:rPr>
        <w:t xml:space="preserve"> aimed</w:t>
      </w:r>
      <w:proofErr w:type="gramEnd"/>
      <w:r w:rsidRPr="00951AE4">
        <w:rPr>
          <w:rFonts w:asciiTheme="minorHAnsi" w:hAnsiTheme="minorHAnsi" w:cstheme="minorBidi"/>
          <w:bCs/>
          <w:color w:val="auto"/>
          <w:sz w:val="22"/>
          <w:szCs w:val="22"/>
        </w:rPr>
        <w:t xml:space="preserve"> to explore the condition of public spaces regarding safety of women and girls in order to propose and implement key interventions that enhance the safety and prevent violence against women and girls in public spaces. </w:t>
      </w:r>
    </w:p>
    <w:p w:rsidR="008F5678" w:rsidRDefault="00F263AE" w:rsidP="004729C3">
      <w:pPr>
        <w:pStyle w:val="Default"/>
        <w:spacing w:line="276" w:lineRule="auto"/>
        <w:jc w:val="both"/>
        <w:rPr>
          <w:rFonts w:asciiTheme="minorHAnsi" w:hAnsiTheme="minorHAnsi"/>
          <w:bCs/>
          <w:sz w:val="22"/>
          <w:szCs w:val="22"/>
        </w:rPr>
      </w:pPr>
      <w:r w:rsidRPr="00951AE4">
        <w:rPr>
          <w:rFonts w:asciiTheme="minorHAnsi" w:hAnsiTheme="minorHAnsi" w:cstheme="minorBidi"/>
          <w:bCs/>
          <w:color w:val="auto"/>
          <w:sz w:val="22"/>
          <w:szCs w:val="22"/>
        </w:rPr>
        <w:t xml:space="preserve">The project employs an integrated community-based approach to address issues and forms of violence against women and girls in the public spaces. </w:t>
      </w:r>
      <w:r w:rsidRPr="00951AE4">
        <w:rPr>
          <w:rFonts w:asciiTheme="minorHAnsi" w:hAnsiTheme="minorHAnsi"/>
          <w:bCs/>
          <w:sz w:val="22"/>
          <w:szCs w:val="22"/>
        </w:rPr>
        <w:t xml:space="preserve">The project </w:t>
      </w:r>
      <w:r w:rsidR="003C71F7" w:rsidRPr="004729C3">
        <w:rPr>
          <w:rFonts w:asciiTheme="minorHAnsi" w:hAnsiTheme="minorHAnsi"/>
          <w:bCs/>
          <w:sz w:val="22"/>
          <w:szCs w:val="22"/>
        </w:rPr>
        <w:t>also aimed</w:t>
      </w:r>
      <w:r w:rsidRPr="00951AE4">
        <w:rPr>
          <w:rFonts w:asciiTheme="minorHAnsi" w:hAnsiTheme="minorHAnsi"/>
          <w:bCs/>
          <w:sz w:val="22"/>
          <w:szCs w:val="22"/>
        </w:rPr>
        <w:t xml:space="preserve"> to increase the capacity of local governments and community groups - particularly youth and women - to practice good urban governance, which is characterized by the interdependent principles of sustainability, equity, efficiency, transparency, accountability, security, civic engagement and citizenship. The </w:t>
      </w:r>
      <w:r w:rsidRPr="00951AE4">
        <w:rPr>
          <w:rFonts w:asciiTheme="minorHAnsi" w:hAnsiTheme="minorHAnsi"/>
          <w:bCs/>
          <w:sz w:val="22"/>
          <w:szCs w:val="22"/>
        </w:rPr>
        <w:lastRenderedPageBreak/>
        <w:t xml:space="preserve">project highlighted a number of recommendations for key interventions to improve public space under which further funding was secured for a new project to implement these interventions. </w:t>
      </w:r>
      <w:r w:rsidR="003C71F7" w:rsidRPr="004729C3">
        <w:rPr>
          <w:rFonts w:asciiTheme="minorHAnsi" w:hAnsiTheme="minorHAnsi"/>
          <w:bCs/>
          <w:sz w:val="22"/>
          <w:szCs w:val="22"/>
        </w:rPr>
        <w:t>T</w:t>
      </w:r>
      <w:r w:rsidR="008F5678" w:rsidRPr="004729C3">
        <w:rPr>
          <w:rFonts w:asciiTheme="minorHAnsi" w:hAnsiTheme="minorHAnsi"/>
          <w:bCs/>
          <w:sz w:val="22"/>
          <w:szCs w:val="22"/>
        </w:rPr>
        <w:t xml:space="preserve">he Project </w:t>
      </w:r>
      <w:r w:rsidR="00053B8F" w:rsidRPr="004729C3">
        <w:rPr>
          <w:rFonts w:asciiTheme="minorHAnsi" w:hAnsiTheme="minorHAnsi"/>
          <w:bCs/>
          <w:sz w:val="22"/>
          <w:szCs w:val="22"/>
        </w:rPr>
        <w:t xml:space="preserve">built </w:t>
      </w:r>
      <w:r w:rsidR="008F5678" w:rsidRPr="004729C3">
        <w:rPr>
          <w:rFonts w:asciiTheme="minorHAnsi" w:hAnsiTheme="minorHAnsi"/>
          <w:bCs/>
          <w:sz w:val="22"/>
          <w:szCs w:val="22"/>
        </w:rPr>
        <w:t>on this expertise and encourage</w:t>
      </w:r>
      <w:r w:rsidR="00951AE4">
        <w:rPr>
          <w:rFonts w:asciiTheme="minorHAnsi" w:hAnsiTheme="minorHAnsi"/>
          <w:bCs/>
          <w:sz w:val="22"/>
          <w:szCs w:val="22"/>
        </w:rPr>
        <w:t>d</w:t>
      </w:r>
      <w:r w:rsidR="008F5678" w:rsidRPr="004729C3">
        <w:rPr>
          <w:rFonts w:asciiTheme="minorHAnsi" w:hAnsiTheme="minorHAnsi"/>
          <w:bCs/>
          <w:sz w:val="22"/>
          <w:szCs w:val="22"/>
        </w:rPr>
        <w:t xml:space="preserve"> the creation of strong linkages between local authorities and the targeted communities. UN-Habitat will associate with the local NGOs working in the respective project locations. </w:t>
      </w:r>
      <w:r w:rsidR="00641134" w:rsidRPr="004729C3">
        <w:rPr>
          <w:rFonts w:asciiTheme="minorHAnsi" w:hAnsiTheme="minorHAnsi"/>
          <w:bCs/>
          <w:sz w:val="22"/>
          <w:szCs w:val="22"/>
        </w:rPr>
        <w:t xml:space="preserve">  </w:t>
      </w:r>
    </w:p>
    <w:p w:rsidR="004729C3" w:rsidRPr="008F5678" w:rsidRDefault="004729C3" w:rsidP="004729C3">
      <w:pPr>
        <w:pStyle w:val="Default"/>
        <w:spacing w:line="276" w:lineRule="auto"/>
        <w:jc w:val="both"/>
        <w:rPr>
          <w:bCs/>
        </w:rPr>
      </w:pPr>
    </w:p>
    <w:p w:rsidR="003C71F7" w:rsidRDefault="003C71F7" w:rsidP="003C71F7">
      <w:pPr>
        <w:jc w:val="both"/>
        <w:rPr>
          <w:bCs/>
          <w:u w:val="single"/>
        </w:rPr>
      </w:pPr>
      <w:r w:rsidRPr="008F5678">
        <w:rPr>
          <w:b/>
          <w:bCs/>
          <w:u w:val="single"/>
        </w:rPr>
        <w:t>Public Spaces and the Right to the City</w:t>
      </w:r>
      <w:r w:rsidRPr="008F5678">
        <w:rPr>
          <w:bCs/>
          <w:u w:val="single"/>
        </w:rPr>
        <w:t> </w:t>
      </w:r>
    </w:p>
    <w:p w:rsidR="004729C3" w:rsidRPr="008F5678" w:rsidRDefault="003C71F7" w:rsidP="003C71F7">
      <w:pPr>
        <w:jc w:val="both"/>
        <w:rPr>
          <w:bCs/>
        </w:rPr>
      </w:pPr>
      <w:r w:rsidRPr="008F5678">
        <w:rPr>
          <w:bCs/>
        </w:rPr>
        <w:t>The project aim</w:t>
      </w:r>
      <w:r>
        <w:rPr>
          <w:bCs/>
        </w:rPr>
        <w:t xml:space="preserve">ed </w:t>
      </w:r>
      <w:r w:rsidRPr="008F5678">
        <w:rPr>
          <w:bCs/>
        </w:rPr>
        <w:t>to increase the capacity of local governments and community groups – particularly youth and women – to practice good urban governance, which is characterized by the interdependent principles of sustainability, equity, efficiency, transparency and accountability, security, civic engagement and citizenship. The Project</w:t>
      </w:r>
      <w:r w:rsidR="006C0947">
        <w:rPr>
          <w:bCs/>
        </w:rPr>
        <w:t xml:space="preserve"> built</w:t>
      </w:r>
      <w:r w:rsidRPr="008F5678">
        <w:rPr>
          <w:bCs/>
        </w:rPr>
        <w:t xml:space="preserve"> on the ongoing participatory consultation mechanisms in the three intervention areas identified during the Safe Cities Project</w:t>
      </w:r>
      <w:r w:rsidR="006C0947">
        <w:rPr>
          <w:bCs/>
        </w:rPr>
        <w:t>,</w:t>
      </w:r>
      <w:r w:rsidR="004729C3">
        <w:rPr>
          <w:bCs/>
        </w:rPr>
        <w:t xml:space="preserve"> </w:t>
      </w:r>
      <w:r w:rsidR="006C0947">
        <w:rPr>
          <w:bCs/>
        </w:rPr>
        <w:t xml:space="preserve">and </w:t>
      </w:r>
      <w:proofErr w:type="gramStart"/>
      <w:r w:rsidR="006C0947">
        <w:rPr>
          <w:bCs/>
        </w:rPr>
        <w:t>upgraded  a</w:t>
      </w:r>
      <w:proofErr w:type="gramEnd"/>
      <w:r w:rsidR="006C0947">
        <w:rPr>
          <w:bCs/>
        </w:rPr>
        <w:t xml:space="preserve"> school in an informal settlement, </w:t>
      </w:r>
      <w:proofErr w:type="spellStart"/>
      <w:r w:rsidR="006C0947">
        <w:rPr>
          <w:bCs/>
        </w:rPr>
        <w:t>Ezbet</w:t>
      </w:r>
      <w:proofErr w:type="spellEnd"/>
      <w:r w:rsidR="006C0947">
        <w:rPr>
          <w:bCs/>
        </w:rPr>
        <w:t xml:space="preserve"> El </w:t>
      </w:r>
      <w:proofErr w:type="spellStart"/>
      <w:r w:rsidR="006C0947">
        <w:rPr>
          <w:bCs/>
        </w:rPr>
        <w:t>Haggana</w:t>
      </w:r>
      <w:proofErr w:type="spellEnd"/>
      <w:r w:rsidR="006C0947">
        <w:rPr>
          <w:bCs/>
        </w:rPr>
        <w:t xml:space="preserve">. </w:t>
      </w:r>
      <w:r w:rsidR="00705785">
        <w:rPr>
          <w:bCs/>
        </w:rPr>
        <w:softHyphen/>
      </w:r>
    </w:p>
    <w:p w:rsidR="008F5678" w:rsidRDefault="008F5678" w:rsidP="008F5678">
      <w:pPr>
        <w:jc w:val="both"/>
        <w:rPr>
          <w:bCs/>
          <w:u w:val="single"/>
        </w:rPr>
      </w:pPr>
      <w:r w:rsidRPr="008F5678">
        <w:rPr>
          <w:b/>
          <w:bCs/>
          <w:u w:val="single"/>
        </w:rPr>
        <w:t xml:space="preserve">Because I Am a </w:t>
      </w:r>
      <w:proofErr w:type="gramStart"/>
      <w:r w:rsidRPr="008F5678">
        <w:rPr>
          <w:b/>
          <w:bCs/>
          <w:u w:val="single"/>
        </w:rPr>
        <w:t>Girl ,</w:t>
      </w:r>
      <w:proofErr w:type="gramEnd"/>
      <w:r w:rsidRPr="008F5678">
        <w:rPr>
          <w:b/>
          <w:bCs/>
          <w:u w:val="single"/>
        </w:rPr>
        <w:t xml:space="preserve"> BIAAG UP</w:t>
      </w:r>
      <w:r w:rsidRPr="008F5678">
        <w:rPr>
          <w:bCs/>
          <w:u w:val="single"/>
        </w:rPr>
        <w:t> </w:t>
      </w:r>
    </w:p>
    <w:p w:rsidR="008F5678" w:rsidRPr="008F5678" w:rsidRDefault="008F5678" w:rsidP="008F5678">
      <w:pPr>
        <w:jc w:val="both"/>
        <w:rPr>
          <w:bCs/>
        </w:rPr>
      </w:pPr>
      <w:r w:rsidRPr="008F5678">
        <w:rPr>
          <w:bCs/>
        </w:rPr>
        <w:t xml:space="preserve">The overall purpose of BIAAG UP is to improve the quality of life for Egyptians through the creation of safe neighborhoods and communities free from violence against women and girls. In order to ensure ownership and sustainability of the intervention, the joint initiative between UN-Habitat and Plan Egypt will employ an integrated community-based approach to address issues and forms of violence against women and girls in public spaces. </w:t>
      </w:r>
      <w:r w:rsidR="00641134">
        <w:rPr>
          <w:bCs/>
        </w:rPr>
        <w:t xml:space="preserve"> </w:t>
      </w:r>
      <w:r w:rsidR="00705785">
        <w:rPr>
          <w:bCs/>
        </w:rPr>
        <w:t xml:space="preserve">The project completed a full detailed design for the creation of community space in an informal settlement, </w:t>
      </w:r>
      <w:proofErr w:type="spellStart"/>
      <w:r w:rsidR="00705785">
        <w:rPr>
          <w:bCs/>
        </w:rPr>
        <w:t>Ezbet</w:t>
      </w:r>
      <w:proofErr w:type="spellEnd"/>
      <w:r w:rsidR="00705785">
        <w:rPr>
          <w:bCs/>
        </w:rPr>
        <w:t xml:space="preserve"> </w:t>
      </w:r>
      <w:proofErr w:type="spellStart"/>
      <w:r w:rsidR="00705785">
        <w:rPr>
          <w:bCs/>
        </w:rPr>
        <w:t>Khairallah</w:t>
      </w:r>
      <w:proofErr w:type="spellEnd"/>
      <w:r w:rsidR="00705785">
        <w:rPr>
          <w:bCs/>
        </w:rPr>
        <w:t xml:space="preserve">, in Greater Cairo. </w:t>
      </w:r>
    </w:p>
    <w:p w:rsidR="008F5678" w:rsidRDefault="008F5678" w:rsidP="008F5678">
      <w:pPr>
        <w:jc w:val="both"/>
        <w:rPr>
          <w:b/>
          <w:bCs/>
          <w:u w:val="single"/>
        </w:rPr>
      </w:pPr>
      <w:r w:rsidRPr="008F5678">
        <w:rPr>
          <w:b/>
          <w:bCs/>
          <w:u w:val="single"/>
        </w:rPr>
        <w:t>Human Security through Inclusive Socio-Economic Development in Upper Egypt</w:t>
      </w:r>
    </w:p>
    <w:p w:rsidR="008F5678" w:rsidRPr="008F5678" w:rsidRDefault="008F5678" w:rsidP="008F5678">
      <w:pPr>
        <w:jc w:val="both"/>
        <w:rPr>
          <w:bCs/>
        </w:rPr>
      </w:pPr>
      <w:r w:rsidRPr="008F5678">
        <w:rPr>
          <w:bCs/>
        </w:rPr>
        <w:t xml:space="preserve">The project is a joint effort of the UN Industrial Development Organization (UNIDO), UN Women, International Labor Organization (ILO), UN-Habitat and the International Organization for Migration (IOM), funded by the United Nations Trust Fund for Human Security (UNTFHS) and the Swiss Agency for International Development. The project’s government counterpart is </w:t>
      </w:r>
      <w:proofErr w:type="spellStart"/>
      <w:r w:rsidRPr="008F5678">
        <w:rPr>
          <w:bCs/>
        </w:rPr>
        <w:t>MoLD</w:t>
      </w:r>
      <w:proofErr w:type="spellEnd"/>
      <w:r w:rsidRPr="008F5678">
        <w:rPr>
          <w:bCs/>
        </w:rPr>
        <w:t xml:space="preserve">. The proposed project consists of package of interventions featuring mutually reinforcing protection and empowerment measures, designed to strengthen human security in </w:t>
      </w:r>
      <w:proofErr w:type="spellStart"/>
      <w:r w:rsidRPr="008F5678">
        <w:rPr>
          <w:bCs/>
        </w:rPr>
        <w:t>Minya</w:t>
      </w:r>
      <w:proofErr w:type="spellEnd"/>
      <w:r w:rsidRPr="008F5678">
        <w:rPr>
          <w:bCs/>
        </w:rPr>
        <w:t xml:space="preserve">. Synergies with both governmental and development partners’ interventions will be sought to maximize impact to beneficiaries. The project is based on thorough human security analysis and its implementation follows a multi-sector approach for protection and empowerment tool. From a human security standpoint, the Human Security </w:t>
      </w:r>
      <w:proofErr w:type="spellStart"/>
      <w:proofErr w:type="gramStart"/>
      <w:r w:rsidRPr="008F5678">
        <w:rPr>
          <w:bCs/>
        </w:rPr>
        <w:t>fora</w:t>
      </w:r>
      <w:proofErr w:type="spellEnd"/>
      <w:r w:rsidRPr="008F5678">
        <w:rPr>
          <w:bCs/>
        </w:rPr>
        <w:t xml:space="preserve"> is</w:t>
      </w:r>
      <w:proofErr w:type="gramEnd"/>
      <w:r w:rsidRPr="008F5678">
        <w:rPr>
          <w:bCs/>
        </w:rPr>
        <w:t xml:space="preserve"> a key empowerment to enhance community engagement and participation in local development. The HS </w:t>
      </w:r>
      <w:proofErr w:type="spellStart"/>
      <w:r w:rsidRPr="008F5678">
        <w:rPr>
          <w:bCs/>
        </w:rPr>
        <w:t>fora</w:t>
      </w:r>
      <w:proofErr w:type="spellEnd"/>
      <w:r w:rsidRPr="008F5678">
        <w:rPr>
          <w:bCs/>
        </w:rPr>
        <w:t xml:space="preserve"> are meant to establish enabling environment for local actors to take the lead in elaborating and implementing community-owned priority development interventions. The </w:t>
      </w:r>
      <w:proofErr w:type="spellStart"/>
      <w:r w:rsidRPr="008F5678">
        <w:rPr>
          <w:bCs/>
        </w:rPr>
        <w:t>fora</w:t>
      </w:r>
      <w:proofErr w:type="spellEnd"/>
      <w:r w:rsidRPr="008F5678">
        <w:rPr>
          <w:bCs/>
        </w:rPr>
        <w:t xml:space="preserve"> will be composed of local stakeholders, including community leaders, representatives of local NGOs, youth and women as well as representatives from local government. Its establishment and mandate will be coordinated with local executives and representatives at the </w:t>
      </w:r>
      <w:proofErr w:type="spellStart"/>
      <w:r w:rsidRPr="008F5678">
        <w:rPr>
          <w:bCs/>
        </w:rPr>
        <w:t>Markaz</w:t>
      </w:r>
      <w:proofErr w:type="spellEnd"/>
      <w:r w:rsidRPr="008F5678">
        <w:rPr>
          <w:bCs/>
        </w:rPr>
        <w:t xml:space="preserve"> and village level.</w:t>
      </w:r>
    </w:p>
    <w:p w:rsidR="00753D01" w:rsidRDefault="00753D01" w:rsidP="008F5678">
      <w:pPr>
        <w:jc w:val="both"/>
        <w:rPr>
          <w:b/>
          <w:bCs/>
          <w:u w:val="single"/>
        </w:rPr>
      </w:pPr>
    </w:p>
    <w:p w:rsidR="008F5678" w:rsidRDefault="008F5678" w:rsidP="008F5678">
      <w:pPr>
        <w:jc w:val="both"/>
        <w:rPr>
          <w:b/>
          <w:bCs/>
          <w:u w:val="single"/>
        </w:rPr>
      </w:pPr>
      <w:bookmarkStart w:id="0" w:name="_GoBack"/>
      <w:bookmarkEnd w:id="0"/>
      <w:r w:rsidRPr="008F5678">
        <w:rPr>
          <w:b/>
          <w:bCs/>
          <w:u w:val="single"/>
        </w:rPr>
        <w:lastRenderedPageBreak/>
        <w:t>Urban Legislation</w:t>
      </w:r>
      <w:r w:rsidR="00EB7175">
        <w:rPr>
          <w:b/>
          <w:bCs/>
          <w:u w:val="single"/>
        </w:rPr>
        <w:t xml:space="preserve"> Reform</w:t>
      </w:r>
    </w:p>
    <w:p w:rsidR="008F5678" w:rsidRPr="008F5678" w:rsidRDefault="00641134" w:rsidP="008F5678">
      <w:pPr>
        <w:jc w:val="both"/>
        <w:rPr>
          <w:bCs/>
        </w:rPr>
      </w:pPr>
      <w:r>
        <w:rPr>
          <w:bCs/>
        </w:rPr>
        <w:t xml:space="preserve">Since the January 25, </w:t>
      </w:r>
      <w:r w:rsidR="008F5678" w:rsidRPr="008F5678">
        <w:rPr>
          <w:bCs/>
        </w:rPr>
        <w:t xml:space="preserve">2011 revolution in Egypt, urban informality has been growing at an especially rapid rate. To address this issue, the UN-Habitat team has been working to understand the formal and informal processes that govern urban expansion in Egypt. This is being done through the work of two key projects: Urban Legislation Reform and Achieving Sustainable Urban Development. Under the Urban Legislation Reform project, UN-Habitat has been highlighting legal and institutional obstacles that are hindering the process of planned urban expansion. While the Law 119 lays out a specific process, this process is ridden with issues that make its implementation virtually impossible. At the same time, the ASUD project has been looking at land readjustment as a possible policy tool to address these challenges. </w:t>
      </w:r>
      <w:r>
        <w:rPr>
          <w:bCs/>
        </w:rPr>
        <w:t xml:space="preserve"> </w:t>
      </w:r>
    </w:p>
    <w:p w:rsidR="008F5678" w:rsidRDefault="008F5678" w:rsidP="008F5678">
      <w:pPr>
        <w:jc w:val="both"/>
        <w:rPr>
          <w:bCs/>
          <w:u w:val="single"/>
        </w:rPr>
      </w:pPr>
      <w:r w:rsidRPr="008F5678">
        <w:rPr>
          <w:b/>
          <w:bCs/>
          <w:u w:val="single"/>
        </w:rPr>
        <w:t>Strategic National Development Support Project (SNDSP)</w:t>
      </w:r>
      <w:r w:rsidRPr="008F5678">
        <w:rPr>
          <w:bCs/>
          <w:u w:val="single"/>
        </w:rPr>
        <w:t> </w:t>
      </w:r>
    </w:p>
    <w:p w:rsidR="008F5678" w:rsidRPr="008F5678" w:rsidRDefault="008F5678" w:rsidP="008F5678">
      <w:pPr>
        <w:jc w:val="both"/>
        <w:rPr>
          <w:bCs/>
        </w:rPr>
      </w:pPr>
      <w:r w:rsidRPr="008F5678">
        <w:rPr>
          <w:bCs/>
        </w:rPr>
        <w:t>The SNDSP project focus has been, and will remain during the proposed extension, to: enhance the development of sound territorial governance legal and institutional framework; provide technical support to national, regional and local stakeholders on strategic planning and budgeting; develop guidelines, manuals and tools; and pilot strategic and action planning. More specifically</w:t>
      </w:r>
      <w:r w:rsidR="00641134">
        <w:rPr>
          <w:bCs/>
        </w:rPr>
        <w:t>, the project’s overall goal is the cooperation of national and local stakeholders</w:t>
      </w:r>
      <w:r w:rsidRPr="008F5678">
        <w:rPr>
          <w:bCs/>
        </w:rPr>
        <w:t xml:space="preserve"> in the preparation and implementation of strategic development urban plans</w:t>
      </w:r>
      <w:r w:rsidR="00641134">
        <w:rPr>
          <w:bCs/>
        </w:rPr>
        <w:t xml:space="preserve"> and budgets at the governorate.</w:t>
      </w:r>
    </w:p>
    <w:p w:rsidR="003C6190" w:rsidRPr="008F5678" w:rsidRDefault="003C6190" w:rsidP="00B915D8">
      <w:pPr>
        <w:jc w:val="both"/>
      </w:pPr>
    </w:p>
    <w:p w:rsidR="003C6190" w:rsidRPr="00AE40F5" w:rsidRDefault="003C6190" w:rsidP="00B915D8">
      <w:pPr>
        <w:pStyle w:val="ListParagraph"/>
        <w:jc w:val="both"/>
      </w:pPr>
    </w:p>
    <w:p w:rsidR="00AE01C9" w:rsidRDefault="00AE01C9" w:rsidP="00B70C4E">
      <w:pPr>
        <w:rPr>
          <w:rFonts w:cstheme="minorHAnsi"/>
        </w:rPr>
      </w:pPr>
      <w:r>
        <w:rPr>
          <w:rFonts w:cstheme="minorHAnsi"/>
        </w:rPr>
        <w:br w:type="page"/>
      </w:r>
    </w:p>
    <w:p w:rsidR="00AE01C9" w:rsidRPr="00296801" w:rsidRDefault="00AE01C9" w:rsidP="002250DD">
      <w:pPr>
        <w:rPr>
          <w:b/>
          <w:sz w:val="28"/>
        </w:rPr>
      </w:pPr>
      <w:r w:rsidRPr="00296801">
        <w:rPr>
          <w:b/>
          <w:sz w:val="28"/>
        </w:rPr>
        <w:lastRenderedPageBreak/>
        <w:t>Further Information</w:t>
      </w:r>
    </w:p>
    <w:p w:rsidR="00641134" w:rsidRPr="00641134" w:rsidRDefault="00AE01C9" w:rsidP="00077104">
      <w:pPr>
        <w:pStyle w:val="ListParagraph"/>
        <w:numPr>
          <w:ilvl w:val="0"/>
          <w:numId w:val="8"/>
        </w:numPr>
      </w:pPr>
      <w:r w:rsidRPr="00641134">
        <w:t>Constitution</w:t>
      </w:r>
      <w:r w:rsidR="00B85124" w:rsidRPr="00641134">
        <w:t xml:space="preserve"> of </w:t>
      </w:r>
      <w:r w:rsidR="00641134" w:rsidRPr="00641134">
        <w:t xml:space="preserve">Egypt: </w:t>
      </w:r>
      <w:hyperlink r:id="rId13" w:history="1">
        <w:r w:rsidR="006325AC" w:rsidRPr="00D415B4">
          <w:rPr>
            <w:rStyle w:val="Hyperlink"/>
          </w:rPr>
          <w:t>https://www.constituteproject.org/constitution/Egypt_2014.pdf</w:t>
        </w:r>
      </w:hyperlink>
      <w:r w:rsidR="006325AC">
        <w:t xml:space="preserve"> </w:t>
      </w:r>
      <w:r w:rsidR="004D7055">
        <w:t>(translated by International IDEA)</w:t>
      </w:r>
    </w:p>
    <w:p w:rsidR="00641134" w:rsidRPr="00641134" w:rsidRDefault="00641134" w:rsidP="00641134">
      <w:pPr>
        <w:pStyle w:val="ListParagraph"/>
        <w:numPr>
          <w:ilvl w:val="0"/>
          <w:numId w:val="8"/>
        </w:numPr>
      </w:pPr>
      <w:r w:rsidRPr="00641134">
        <w:t>Ministry of Housing, Utilities and Urban Development :</w:t>
      </w:r>
      <w:r>
        <w:t xml:space="preserve"> </w:t>
      </w:r>
      <w:hyperlink r:id="rId14" w:history="1">
        <w:r w:rsidR="006325AC" w:rsidRPr="00D415B4">
          <w:rPr>
            <w:rStyle w:val="Hyperlink"/>
          </w:rPr>
          <w:t>http://www.moh.gov.eg/en/en_design/default_en.aspx</w:t>
        </w:r>
      </w:hyperlink>
      <w:r w:rsidR="006325AC">
        <w:t xml:space="preserve"> </w:t>
      </w:r>
    </w:p>
    <w:p w:rsidR="00641134" w:rsidRPr="006325AC" w:rsidRDefault="00641134" w:rsidP="00641134">
      <w:pPr>
        <w:pStyle w:val="ListParagraph"/>
        <w:numPr>
          <w:ilvl w:val="0"/>
          <w:numId w:val="8"/>
        </w:numPr>
      </w:pPr>
      <w:r w:rsidRPr="006325AC">
        <w:t xml:space="preserve">National Urban Development Framework (2014-2052):  </w:t>
      </w:r>
      <w:hyperlink r:id="rId15" w:history="1">
        <w:r w:rsidR="006325AC" w:rsidRPr="00D415B4">
          <w:rPr>
            <w:rStyle w:val="Hyperlink"/>
          </w:rPr>
          <w:t>http://gopp.gov.eg/wp-content/uploads/2015/01/GOPP-PA_2014.pdf</w:t>
        </w:r>
      </w:hyperlink>
      <w:r w:rsidR="006325AC">
        <w:t xml:space="preserve"> </w:t>
      </w:r>
    </w:p>
    <w:p w:rsidR="00376665" w:rsidRPr="00EA4EBB" w:rsidRDefault="00376665" w:rsidP="00EA4EBB">
      <w:pPr>
        <w:pStyle w:val="ListParagraph"/>
        <w:numPr>
          <w:ilvl w:val="0"/>
          <w:numId w:val="8"/>
        </w:numPr>
        <w:rPr>
          <w:b/>
        </w:rPr>
      </w:pPr>
      <w:r w:rsidRPr="00296801">
        <w:t xml:space="preserve">OHCHR Convention Ratification Status: </w:t>
      </w:r>
      <w:hyperlink r:id="rId16" w:history="1">
        <w:r w:rsidRPr="00296801">
          <w:rPr>
            <w:rStyle w:val="Hyperlink"/>
          </w:rPr>
          <w:t>http://indicators.ohchr.org/</w:t>
        </w:r>
      </w:hyperlink>
    </w:p>
    <w:p w:rsidR="006325AC" w:rsidRPr="006325AC" w:rsidRDefault="006325AC" w:rsidP="001D33D4">
      <w:pPr>
        <w:pStyle w:val="ListParagraph"/>
        <w:numPr>
          <w:ilvl w:val="0"/>
          <w:numId w:val="8"/>
        </w:numPr>
        <w:rPr>
          <w:b/>
        </w:rPr>
      </w:pPr>
      <w:r w:rsidRPr="00EA4EBB">
        <w:t>Universal Periodic Review:</w:t>
      </w:r>
      <w:hyperlink r:id="rId17" w:history="1"/>
      <w:r w:rsidRPr="006325AC">
        <w:rPr>
          <w:color w:val="0000FF" w:themeColor="hyperlink"/>
          <w:u w:val="single"/>
        </w:rPr>
        <w:t xml:space="preserve"> </w:t>
      </w:r>
      <w:hyperlink r:id="rId18" w:history="1">
        <w:r w:rsidRPr="00D415B4">
          <w:rPr>
            <w:rStyle w:val="Hyperlink"/>
          </w:rPr>
          <w:t>http://www.ohchr.org/EN/HRBodies/UPR/Pages/EGSession20.aspx</w:t>
        </w:r>
      </w:hyperlink>
      <w:r w:rsidRPr="00EA4EBB">
        <w:rPr>
          <w:rFonts w:cstheme="minorHAnsi"/>
          <w:bCs/>
        </w:rPr>
        <w:t xml:space="preserve"> </w:t>
      </w:r>
    </w:p>
    <w:p w:rsidR="006325AC" w:rsidRDefault="00296801" w:rsidP="006325AC">
      <w:pPr>
        <w:pStyle w:val="ListParagraph"/>
        <w:numPr>
          <w:ilvl w:val="0"/>
          <w:numId w:val="8"/>
        </w:numPr>
      </w:pPr>
      <w:r w:rsidRPr="006325AC">
        <w:rPr>
          <w:rFonts w:cstheme="minorHAnsi"/>
          <w:bCs/>
        </w:rPr>
        <w:t>Report of the United Nations High Commissioner f</w:t>
      </w:r>
      <w:r w:rsidR="006325AC" w:rsidRPr="006325AC">
        <w:rPr>
          <w:rFonts w:cstheme="minorHAnsi"/>
          <w:bCs/>
        </w:rPr>
        <w:t>or Human Rights</w:t>
      </w:r>
      <w:r w:rsidRPr="006325AC">
        <w:rPr>
          <w:rFonts w:cstheme="minorHAnsi"/>
          <w:bCs/>
        </w:rPr>
        <w:t>:</w:t>
      </w:r>
      <w:hyperlink r:id="rId19" w:history="1"/>
      <w:r w:rsidR="006325AC">
        <w:t xml:space="preserve"> </w:t>
      </w:r>
      <w:hyperlink r:id="rId20" w:history="1">
        <w:r w:rsidR="006325AC" w:rsidRPr="00D415B4">
          <w:rPr>
            <w:rStyle w:val="Hyperlink"/>
          </w:rPr>
          <w:t>http://daccess-dds-ny.un.org/doc/UNDOC/GEN/G14/138/61/PDF/G1413861.pdf?OpenElement</w:t>
        </w:r>
      </w:hyperlink>
      <w:r w:rsidR="006325AC">
        <w:t xml:space="preserve"> </w:t>
      </w:r>
    </w:p>
    <w:p w:rsidR="006325AC" w:rsidRPr="006325AC" w:rsidRDefault="00296801" w:rsidP="006325AC">
      <w:pPr>
        <w:pStyle w:val="ListParagraph"/>
        <w:numPr>
          <w:ilvl w:val="0"/>
          <w:numId w:val="8"/>
        </w:numPr>
      </w:pPr>
      <w:proofErr w:type="spellStart"/>
      <w:r w:rsidRPr="00EA4EBB">
        <w:t>UNCT:</w:t>
      </w:r>
      <w:hyperlink r:id="rId21" w:history="1"/>
      <w:r w:rsidR="006325AC" w:rsidRPr="006325AC">
        <w:rPr>
          <w:color w:val="0000FF" w:themeColor="hyperlink"/>
          <w:u w:val="single"/>
        </w:rPr>
        <w:t>http</w:t>
      </w:r>
      <w:proofErr w:type="spellEnd"/>
      <w:r w:rsidR="006325AC" w:rsidRPr="006325AC">
        <w:rPr>
          <w:color w:val="0000FF" w:themeColor="hyperlink"/>
          <w:u w:val="single"/>
        </w:rPr>
        <w:t>://undg.org/home/country-teams/</w:t>
      </w:r>
      <w:proofErr w:type="spellStart"/>
      <w:r w:rsidR="006325AC" w:rsidRPr="006325AC">
        <w:rPr>
          <w:color w:val="0000FF" w:themeColor="hyperlink"/>
          <w:u w:val="single"/>
        </w:rPr>
        <w:t>arab</w:t>
      </w:r>
      <w:proofErr w:type="spellEnd"/>
      <w:r w:rsidR="006325AC" w:rsidRPr="006325AC">
        <w:rPr>
          <w:color w:val="0000FF" w:themeColor="hyperlink"/>
          <w:u w:val="single"/>
        </w:rPr>
        <w:t>-states/</w:t>
      </w:r>
      <w:proofErr w:type="spellStart"/>
      <w:r w:rsidR="006325AC" w:rsidRPr="006325AC">
        <w:rPr>
          <w:color w:val="0000FF" w:themeColor="hyperlink"/>
          <w:u w:val="single"/>
        </w:rPr>
        <w:t>egypt</w:t>
      </w:r>
      <w:proofErr w:type="spellEnd"/>
      <w:r w:rsidR="006325AC" w:rsidRPr="006325AC">
        <w:rPr>
          <w:color w:val="0000FF" w:themeColor="hyperlink"/>
          <w:u w:val="single"/>
        </w:rPr>
        <w:t xml:space="preserve">/ </w:t>
      </w:r>
    </w:p>
    <w:p w:rsidR="006325AC" w:rsidRPr="006325AC" w:rsidRDefault="00296801" w:rsidP="006325AC">
      <w:pPr>
        <w:pStyle w:val="ListParagraph"/>
        <w:numPr>
          <w:ilvl w:val="0"/>
          <w:numId w:val="8"/>
        </w:numPr>
        <w:rPr>
          <w:b/>
        </w:rPr>
      </w:pPr>
      <w:r w:rsidRPr="00EA4EBB">
        <w:t>UNDAF:</w:t>
      </w:r>
      <w:r w:rsidR="006325AC" w:rsidRPr="006325AC">
        <w:rPr>
          <w:sz w:val="18"/>
        </w:rPr>
        <w:t xml:space="preserve"> </w:t>
      </w:r>
      <w:hyperlink r:id="rId22" w:history="1">
        <w:r w:rsidR="006325AC" w:rsidRPr="00D415B4">
          <w:rPr>
            <w:rStyle w:val="Hyperlink"/>
          </w:rPr>
          <w:t>http://www.unfpa.org/sites/default/files/portal-document/Egypt_UNDAF%202013-2017.pdf</w:t>
        </w:r>
      </w:hyperlink>
      <w:r w:rsidR="006325AC">
        <w:t xml:space="preserve"> </w:t>
      </w:r>
    </w:p>
    <w:p w:rsidR="00296801" w:rsidRPr="006325AC" w:rsidRDefault="00BE02E2" w:rsidP="00EA4EBB">
      <w:pPr>
        <w:pStyle w:val="ListParagraph"/>
        <w:numPr>
          <w:ilvl w:val="0"/>
          <w:numId w:val="8"/>
        </w:numPr>
        <w:rPr>
          <w:lang w:val="fr-FR"/>
        </w:rPr>
      </w:pPr>
      <w:hyperlink r:id="rId23" w:history="1"/>
      <w:r w:rsidR="00296801" w:rsidRPr="006325AC">
        <w:rPr>
          <w:lang w:val="fr-FR"/>
        </w:rPr>
        <w:t xml:space="preserve">UN-Habitat </w:t>
      </w:r>
      <w:proofErr w:type="spellStart"/>
      <w:r w:rsidR="006325AC">
        <w:rPr>
          <w:lang w:val="fr-FR"/>
        </w:rPr>
        <w:t>Egypt</w:t>
      </w:r>
      <w:proofErr w:type="spellEnd"/>
      <w:r w:rsidR="006325AC">
        <w:rPr>
          <w:lang w:val="fr-FR"/>
        </w:rPr>
        <w:t xml:space="preserve"> </w:t>
      </w:r>
      <w:proofErr w:type="spellStart"/>
      <w:r w:rsidR="00296801" w:rsidRPr="006325AC">
        <w:rPr>
          <w:lang w:val="fr-FR"/>
        </w:rPr>
        <w:t>Summary</w:t>
      </w:r>
      <w:proofErr w:type="spellEnd"/>
      <w:r w:rsidR="00296801" w:rsidRPr="006325AC">
        <w:rPr>
          <w:lang w:val="fr-FR"/>
        </w:rPr>
        <w:t xml:space="preserve">: </w:t>
      </w:r>
      <w:hyperlink r:id="rId24" w:history="1"/>
      <w:hyperlink r:id="rId25" w:history="1">
        <w:r w:rsidR="006325AC" w:rsidRPr="00D415B4">
          <w:rPr>
            <w:rStyle w:val="Hyperlink"/>
            <w:lang w:val="fr-FR"/>
          </w:rPr>
          <w:t>http://unhabitat.org/egypt/</w:t>
        </w:r>
      </w:hyperlink>
    </w:p>
    <w:p w:rsidR="00A80161" w:rsidRPr="00341378" w:rsidRDefault="00A80161" w:rsidP="002250DD">
      <w:pPr>
        <w:pStyle w:val="ListParagraph"/>
        <w:numPr>
          <w:ilvl w:val="0"/>
          <w:numId w:val="8"/>
        </w:numPr>
      </w:pPr>
      <w:r w:rsidRPr="00341378">
        <w:t xml:space="preserve">OHCHR: </w:t>
      </w:r>
      <w:hyperlink r:id="rId26" w:history="1">
        <w:r w:rsidRPr="00341378">
          <w:rPr>
            <w:rStyle w:val="Hyperlink"/>
            <w:color w:val="auto"/>
          </w:rPr>
          <w:t>http://www.ohchr.org/EN/Pages/WelcomePage.aspx</w:t>
        </w:r>
      </w:hyperlink>
    </w:p>
    <w:p w:rsidR="00A80161" w:rsidRPr="00EA4EBB" w:rsidRDefault="00A80161" w:rsidP="002250DD">
      <w:pPr>
        <w:pStyle w:val="ListParagraph"/>
        <w:numPr>
          <w:ilvl w:val="0"/>
          <w:numId w:val="8"/>
        </w:numPr>
        <w:rPr>
          <w:rStyle w:val="Hyperlink"/>
          <w:color w:val="auto"/>
          <w:u w:val="none"/>
          <w:lang w:val="pt-BR"/>
        </w:rPr>
      </w:pPr>
      <w:r w:rsidRPr="00EA4EBB">
        <w:rPr>
          <w:lang w:val="pt-BR"/>
        </w:rPr>
        <w:t xml:space="preserve">UN-Habitat: </w:t>
      </w:r>
      <w:hyperlink r:id="rId27" w:history="1">
        <w:r w:rsidRPr="00EA4EBB">
          <w:rPr>
            <w:rStyle w:val="Hyperlink"/>
            <w:color w:val="auto"/>
            <w:lang w:val="pt-BR"/>
          </w:rPr>
          <w:t>http://unhabitat.org/</w:t>
        </w:r>
      </w:hyperlink>
    </w:p>
    <w:p w:rsidR="00A80161" w:rsidRPr="00EA4EBB" w:rsidRDefault="00A80161" w:rsidP="002250DD">
      <w:pPr>
        <w:pStyle w:val="ListParagraph"/>
        <w:numPr>
          <w:ilvl w:val="0"/>
          <w:numId w:val="8"/>
        </w:numPr>
      </w:pPr>
      <w:r w:rsidRPr="00EA4EBB">
        <w:t xml:space="preserve">Universal Periodic Review: </w:t>
      </w:r>
      <w:hyperlink r:id="rId28" w:history="1">
        <w:r w:rsidRPr="00EA4EBB">
          <w:rPr>
            <w:rStyle w:val="Hyperlink"/>
            <w:color w:val="auto"/>
          </w:rPr>
          <w:t>http://www.ohchr.org/EN/HRBodies/UPR/Pages/UPRMain.aspx</w:t>
        </w:r>
      </w:hyperlink>
    </w:p>
    <w:p w:rsidR="00A80161" w:rsidRPr="00341378" w:rsidRDefault="00A80161" w:rsidP="002250DD">
      <w:pPr>
        <w:pStyle w:val="ListParagraph"/>
        <w:numPr>
          <w:ilvl w:val="0"/>
          <w:numId w:val="8"/>
        </w:numPr>
      </w:pPr>
      <w:r w:rsidRPr="00341378">
        <w:t>Special Rapporteur</w:t>
      </w:r>
      <w:r w:rsidR="00C678AD" w:rsidRPr="00341378">
        <w:t xml:space="preserve"> on </w:t>
      </w:r>
      <w:r w:rsidR="00B85124" w:rsidRPr="00341378">
        <w:t>Adequate</w:t>
      </w:r>
      <w:r w:rsidR="00951AE4">
        <w:t xml:space="preserve"> </w:t>
      </w:r>
      <w:r w:rsidR="00B85124" w:rsidRPr="00341378">
        <w:t>Housing</w:t>
      </w:r>
      <w:r w:rsidRPr="00341378">
        <w:t xml:space="preserve">: </w:t>
      </w:r>
      <w:hyperlink r:id="rId29" w:history="1">
        <w:r w:rsidRPr="00341378">
          <w:rPr>
            <w:rStyle w:val="Hyperlink"/>
            <w:color w:val="auto"/>
          </w:rPr>
          <w:t>http://www.ohchr.org/EN/Issues/Housing/Pages/HousingIndex.aspx</w:t>
        </w:r>
      </w:hyperlink>
    </w:p>
    <w:p w:rsidR="002E7D99" w:rsidRPr="00341378" w:rsidRDefault="006325AC" w:rsidP="00641134">
      <w:pPr>
        <w:rPr>
          <w:sz w:val="18"/>
        </w:rPr>
      </w:pPr>
      <w:r>
        <w:rPr>
          <w:sz w:val="18"/>
        </w:rPr>
        <w:t xml:space="preserve"> </w:t>
      </w:r>
    </w:p>
    <w:sectPr w:rsidR="002E7D99" w:rsidRPr="00341378" w:rsidSect="007C4F87">
      <w:headerReference w:type="default" r:id="rId30"/>
      <w:pgSz w:w="11906" w:h="16838"/>
      <w:pgMar w:top="1988"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3C831" w15:done="0"/>
  <w15:commentEx w15:paraId="39B3DA9D" w15:done="0"/>
  <w15:commentEx w15:paraId="5FF12385" w15:done="0"/>
  <w15:commentEx w15:paraId="5AD009BC" w15:done="0"/>
  <w15:commentEx w15:paraId="10807829" w15:done="0"/>
  <w15:commentEx w15:paraId="48EFF966" w15:done="0"/>
  <w15:commentEx w15:paraId="3DB5A9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35" w:rsidRDefault="003F0635" w:rsidP="00E70BF1">
      <w:pPr>
        <w:spacing w:after="0" w:line="240" w:lineRule="auto"/>
      </w:pPr>
      <w:r>
        <w:separator/>
      </w:r>
    </w:p>
  </w:endnote>
  <w:endnote w:type="continuationSeparator" w:id="0">
    <w:p w:rsidR="003F0635" w:rsidRDefault="003F0635"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35" w:rsidRDefault="003F0635" w:rsidP="00E70BF1">
      <w:pPr>
        <w:spacing w:after="0" w:line="240" w:lineRule="auto"/>
      </w:pPr>
      <w:r>
        <w:separator/>
      </w:r>
    </w:p>
  </w:footnote>
  <w:footnote w:type="continuationSeparator" w:id="0">
    <w:p w:rsidR="003F0635" w:rsidRDefault="003F0635" w:rsidP="00E70BF1">
      <w:pPr>
        <w:spacing w:after="0" w:line="240" w:lineRule="auto"/>
      </w:pPr>
      <w:r>
        <w:continuationSeparator/>
      </w:r>
    </w:p>
  </w:footnote>
  <w:footnote w:id="1">
    <w:p w:rsidR="00053B8F" w:rsidRPr="00BF207E" w:rsidRDefault="00053B8F">
      <w:pPr>
        <w:pStyle w:val="FootnoteText"/>
      </w:pPr>
      <w:r>
        <w:rPr>
          <w:rStyle w:val="FootnoteReference"/>
        </w:rPr>
        <w:footnoteRef/>
      </w:r>
      <w:r>
        <w:t xml:space="preserve"> </w:t>
      </w:r>
      <w:hyperlink r:id="rId1" w:history="1">
        <w:proofErr w:type="gramStart"/>
        <w:r w:rsidRPr="00A62FC0">
          <w:rPr>
            <w:rStyle w:val="Hyperlink"/>
          </w:rPr>
          <w:t>https://www.constituteproject.org/constitution/Egypt_2014.pdf</w:t>
        </w:r>
      </w:hyperlink>
      <w:r>
        <w:t xml:space="preserve"> (translated by International IDEA).</w:t>
      </w:r>
      <w:proofErr w:type="gramEnd"/>
    </w:p>
  </w:footnote>
  <w:footnote w:id="2">
    <w:p w:rsidR="00053B8F" w:rsidRPr="00272702" w:rsidRDefault="00053B8F">
      <w:pPr>
        <w:pStyle w:val="FootnoteText"/>
      </w:pPr>
      <w:r>
        <w:rPr>
          <w:rStyle w:val="FootnoteReference"/>
        </w:rPr>
        <w:footnoteRef/>
      </w:r>
      <w:r>
        <w:t xml:space="preserve"> </w:t>
      </w:r>
      <w:r w:rsidRPr="00272702">
        <w:t>http://www.moh.gov.eg/en/en_design/default_en.aspx</w:t>
      </w:r>
    </w:p>
  </w:footnote>
  <w:footnote w:id="3">
    <w:p w:rsidR="00053B8F" w:rsidRPr="004640F1" w:rsidRDefault="00053B8F">
      <w:pPr>
        <w:pStyle w:val="FootnoteText"/>
      </w:pPr>
      <w:r>
        <w:rPr>
          <w:rStyle w:val="FootnoteReference"/>
        </w:rPr>
        <w:footnoteRef/>
      </w:r>
      <w:r>
        <w:t xml:space="preserve"> </w:t>
      </w:r>
      <w:r w:rsidRPr="004640F1">
        <w:t>http://gopp.gov.eg/wp-content/uploads/2015/01/GOPP-PA_2014.pdf</w:t>
      </w:r>
    </w:p>
  </w:footnote>
  <w:footnote w:id="4">
    <w:p w:rsidR="00053B8F" w:rsidRPr="00376665" w:rsidRDefault="00053B8F">
      <w:pPr>
        <w:pStyle w:val="FootnoteText"/>
      </w:pPr>
      <w:r>
        <w:rPr>
          <w:rStyle w:val="FootnoteReference"/>
        </w:rPr>
        <w:footnoteRef/>
      </w:r>
      <w:r w:rsidRPr="00376665">
        <w:t>http://indicators.ohchr.org/</w:t>
      </w:r>
    </w:p>
  </w:footnote>
  <w:footnote w:id="5">
    <w:p w:rsidR="00053B8F" w:rsidRPr="001B14C7" w:rsidRDefault="00053B8F">
      <w:pPr>
        <w:pStyle w:val="FootnoteText"/>
      </w:pPr>
      <w:r>
        <w:rPr>
          <w:rStyle w:val="FootnoteReference"/>
        </w:rPr>
        <w:footnoteRef/>
      </w:r>
      <w:r>
        <w:t xml:space="preserve"> </w:t>
      </w:r>
      <w:r w:rsidRPr="001B14C7">
        <w:t>http://www.ohchr.org/EN/HRBodies/UPR/Pages/EGSession7.aspx</w:t>
      </w:r>
    </w:p>
  </w:footnote>
  <w:footnote w:id="6">
    <w:p w:rsidR="00053B8F" w:rsidRPr="001B14C7" w:rsidRDefault="00053B8F">
      <w:pPr>
        <w:pStyle w:val="FootnoteText"/>
      </w:pPr>
      <w:r>
        <w:rPr>
          <w:rStyle w:val="FootnoteReference"/>
        </w:rPr>
        <w:footnoteRef/>
      </w:r>
      <w:r>
        <w:t xml:space="preserve"> </w:t>
      </w:r>
      <w:r w:rsidRPr="00BD19D7">
        <w:t>http://www.ohchr.org/EN/HRBodies/UPR/Pages/EGSession20.aspx</w:t>
      </w:r>
    </w:p>
  </w:footnote>
  <w:footnote w:id="7">
    <w:p w:rsidR="00053B8F" w:rsidRPr="00BF207E" w:rsidRDefault="00053B8F">
      <w:pPr>
        <w:pStyle w:val="FootnoteText"/>
      </w:pPr>
      <w:r>
        <w:rPr>
          <w:rStyle w:val="FootnoteReference"/>
        </w:rPr>
        <w:footnoteRef/>
      </w:r>
      <w:r w:rsidRPr="00BD19D7">
        <w:t>http://daccess-dds-ny.un.org/doc/UNDOC/GEN/G14/138/61/PDF/G1413861.pdf?OpenElement</w:t>
      </w:r>
    </w:p>
  </w:footnote>
  <w:footnote w:id="8">
    <w:p w:rsidR="00053B8F" w:rsidRDefault="00053B8F">
      <w:pPr>
        <w:pStyle w:val="FootnoteText"/>
      </w:pPr>
      <w:r>
        <w:rPr>
          <w:rStyle w:val="FootnoteReference"/>
        </w:rPr>
        <w:footnoteRef/>
      </w:r>
      <w:r>
        <w:t xml:space="preserve"> Concluding Observations </w:t>
      </w:r>
      <w:r w:rsidRPr="009416F2">
        <w:t>E/C.12/1/Add.44</w:t>
      </w:r>
    </w:p>
    <w:p w:rsidR="00053B8F" w:rsidRPr="00BF207E" w:rsidRDefault="00053B8F">
      <w:pPr>
        <w:pStyle w:val="FootnoteText"/>
      </w:pPr>
    </w:p>
  </w:footnote>
  <w:footnote w:id="9">
    <w:p w:rsidR="00053B8F" w:rsidRPr="00BF207E" w:rsidRDefault="00053B8F">
      <w:pPr>
        <w:pStyle w:val="FootnoteText"/>
      </w:pPr>
      <w:r>
        <w:rPr>
          <w:rStyle w:val="FootnoteReference"/>
        </w:rPr>
        <w:footnoteRef/>
      </w:r>
      <w:r w:rsidRPr="00232DF6">
        <w:t>http://undg.org/home/country-teams/arab-states/egypt/</w:t>
      </w:r>
      <w:hyperlink r:id="rId2" w:history="1"/>
      <w:r>
        <w:rPr>
          <w:rStyle w:val="Hyperlink"/>
        </w:rPr>
        <w:t xml:space="preserve"> </w:t>
      </w:r>
    </w:p>
  </w:footnote>
  <w:footnote w:id="10">
    <w:p w:rsidR="00053B8F" w:rsidRPr="00BF207E" w:rsidRDefault="00053B8F">
      <w:pPr>
        <w:pStyle w:val="FootnoteText"/>
      </w:pPr>
      <w:r>
        <w:rPr>
          <w:rStyle w:val="FootnoteReference"/>
        </w:rPr>
        <w:footnoteRef/>
      </w:r>
      <w:r w:rsidRPr="00232DF6">
        <w:t>http://www.unfpa.org/sites/default/files/portal-document/Egypt_UNDAF%202013-2017.pdf</w:t>
      </w:r>
    </w:p>
  </w:footnote>
  <w:footnote w:id="11">
    <w:p w:rsidR="00053B8F" w:rsidRPr="00B33886" w:rsidRDefault="00053B8F">
      <w:pPr>
        <w:pStyle w:val="FootnoteText"/>
      </w:pPr>
      <w:r>
        <w:rPr>
          <w:rStyle w:val="FootnoteReference"/>
        </w:rPr>
        <w:footnoteRef/>
      </w:r>
      <w:hyperlink r:id="rId3" w:history="1">
        <w:r w:rsidRPr="00D415B4">
          <w:rPr>
            <w:rStyle w:val="Hyperlink"/>
          </w:rPr>
          <w:t>http://unhabitat.org/egypt/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053B8F" w:rsidRDefault="00053B8F">
        <w:pPr>
          <w:pStyle w:val="Header"/>
          <w:jc w:val="center"/>
        </w:pPr>
        <w:r>
          <w:rPr>
            <w:noProof/>
          </w:rPr>
          <w:drawing>
            <wp:anchor distT="0" distB="0" distL="114300" distR="114300" simplePos="0" relativeHeight="251660288" behindDoc="1" locked="0" layoutInCell="1" allowOverlap="1" wp14:anchorId="30DE1D7A" wp14:editId="541D99ED">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anchor>
          </w:drawing>
        </w:r>
      </w:p>
      <w:p w:rsidR="00053B8F" w:rsidRPr="007C4F87" w:rsidRDefault="00053B8F">
        <w:pPr>
          <w:pStyle w:val="Header"/>
          <w:jc w:val="center"/>
          <w:rPr>
            <w:b/>
            <w:color w:val="FFFFFF" w:themeColor="background1"/>
          </w:rPr>
        </w:pPr>
      </w:p>
      <w:p w:rsidR="00053B8F" w:rsidRPr="007C4F87" w:rsidRDefault="00053B8F" w:rsidP="007C4F87">
        <w:pPr>
          <w:jc w:val="center"/>
          <w:rPr>
            <w:b/>
            <w:color w:val="FFFFFF" w:themeColor="background1"/>
          </w:rPr>
        </w:pPr>
        <w:r>
          <w:rPr>
            <w:b/>
            <w:color w:val="FFFFFF" w:themeColor="background1"/>
          </w:rPr>
          <w:t xml:space="preserve">Housing Rights and Human </w:t>
        </w:r>
        <w:r w:rsidRPr="007C4F87">
          <w:rPr>
            <w:b/>
            <w:color w:val="FFFFFF" w:themeColor="background1"/>
          </w:rPr>
          <w:t>Rights</w:t>
        </w:r>
        <w:r>
          <w:rPr>
            <w:b/>
            <w:color w:val="FFFFFF" w:themeColor="background1"/>
          </w:rPr>
          <w:t xml:space="preserve"> Brief</w:t>
        </w:r>
        <w:r w:rsidRPr="007C4F87">
          <w:rPr>
            <w:b/>
            <w:color w:val="FFFFFF" w:themeColor="background1"/>
          </w:rPr>
          <w:br/>
        </w:r>
        <w:r w:rsidR="00F263AE" w:rsidRPr="007C4F87">
          <w:rPr>
            <w:b/>
            <w:color w:val="FFFFFF" w:themeColor="background1"/>
          </w:rPr>
          <w:fldChar w:fldCharType="begin"/>
        </w:r>
        <w:r w:rsidRPr="007C4F87">
          <w:rPr>
            <w:b/>
            <w:color w:val="FFFFFF" w:themeColor="background1"/>
          </w:rPr>
          <w:instrText xml:space="preserve"> PAGE   \* MERGEFORMAT </w:instrText>
        </w:r>
        <w:r w:rsidR="00F263AE" w:rsidRPr="007C4F87">
          <w:rPr>
            <w:b/>
            <w:color w:val="FFFFFF" w:themeColor="background1"/>
          </w:rPr>
          <w:fldChar w:fldCharType="separate"/>
        </w:r>
        <w:r w:rsidR="00753D01">
          <w:rPr>
            <w:b/>
            <w:noProof/>
            <w:color w:val="FFFFFF" w:themeColor="background1"/>
          </w:rPr>
          <w:t>13</w:t>
        </w:r>
        <w:r w:rsidR="00F263AE" w:rsidRPr="007C4F87">
          <w:rPr>
            <w:b/>
            <w:noProof/>
            <w:color w:val="FFFFFF" w:themeColor="background1"/>
          </w:rPr>
          <w:fldChar w:fldCharType="end"/>
        </w:r>
      </w:p>
    </w:sdtContent>
  </w:sdt>
  <w:p w:rsidR="00053B8F" w:rsidRDefault="00053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6E67"/>
    <w:multiLevelType w:val="hybridMultilevel"/>
    <w:tmpl w:val="260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81DBF"/>
    <w:multiLevelType w:val="multilevel"/>
    <w:tmpl w:val="DA3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B6ABE"/>
    <w:multiLevelType w:val="hybridMultilevel"/>
    <w:tmpl w:val="743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747AF"/>
    <w:multiLevelType w:val="hybridMultilevel"/>
    <w:tmpl w:val="870082E2"/>
    <w:lvl w:ilvl="0" w:tplc="D78A568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613EC"/>
    <w:multiLevelType w:val="hybridMultilevel"/>
    <w:tmpl w:val="05D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A775BE"/>
    <w:multiLevelType w:val="hybridMultilevel"/>
    <w:tmpl w:val="2CECBB56"/>
    <w:lvl w:ilvl="0" w:tplc="BC92B9B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3DB588D"/>
    <w:multiLevelType w:val="hybridMultilevel"/>
    <w:tmpl w:val="D2F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A91F42"/>
    <w:multiLevelType w:val="hybridMultilevel"/>
    <w:tmpl w:val="FB547AF6"/>
    <w:lvl w:ilvl="0" w:tplc="B794436C">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3291F"/>
    <w:multiLevelType w:val="hybridMultilevel"/>
    <w:tmpl w:val="35CAE75A"/>
    <w:lvl w:ilvl="0" w:tplc="0CF8E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72962"/>
    <w:multiLevelType w:val="multilevel"/>
    <w:tmpl w:val="B18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C639A9"/>
    <w:multiLevelType w:val="hybridMultilevel"/>
    <w:tmpl w:val="1C8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AA6587"/>
    <w:multiLevelType w:val="hybridMultilevel"/>
    <w:tmpl w:val="7B2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8F73D1"/>
    <w:multiLevelType w:val="hybridMultilevel"/>
    <w:tmpl w:val="E5C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60446"/>
    <w:multiLevelType w:val="hybridMultilevel"/>
    <w:tmpl w:val="58E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6"/>
  </w:num>
  <w:num w:numId="5">
    <w:abstractNumId w:val="18"/>
  </w:num>
  <w:num w:numId="6">
    <w:abstractNumId w:val="2"/>
  </w:num>
  <w:num w:numId="7">
    <w:abstractNumId w:val="19"/>
  </w:num>
  <w:num w:numId="8">
    <w:abstractNumId w:val="7"/>
  </w:num>
  <w:num w:numId="9">
    <w:abstractNumId w:val="10"/>
  </w:num>
  <w:num w:numId="10">
    <w:abstractNumId w:val="13"/>
  </w:num>
  <w:num w:numId="11">
    <w:abstractNumId w:val="1"/>
  </w:num>
  <w:num w:numId="12">
    <w:abstractNumId w:val="0"/>
  </w:num>
  <w:num w:numId="13">
    <w:abstractNumId w:val="14"/>
  </w:num>
  <w:num w:numId="14">
    <w:abstractNumId w:val="8"/>
  </w:num>
  <w:num w:numId="15">
    <w:abstractNumId w:val="12"/>
  </w:num>
  <w:num w:numId="16">
    <w:abstractNumId w:val="4"/>
  </w:num>
  <w:num w:numId="17">
    <w:abstractNumId w:val="11"/>
  </w:num>
  <w:num w:numId="18">
    <w:abstractNumId w:val="9"/>
  </w:num>
  <w:num w:numId="19">
    <w:abstractNumId w:val="21"/>
  </w:num>
  <w:num w:numId="20">
    <w:abstractNumId w:val="22"/>
  </w:num>
  <w:num w:numId="21">
    <w:abstractNumId w:val="17"/>
  </w:num>
  <w:num w:numId="22">
    <w:abstractNumId w:val="5"/>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ma Yousry">
    <w15:presenceInfo w15:providerId="None" w15:userId="Salma Yous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70E7"/>
    <w:rsid w:val="000338C1"/>
    <w:rsid w:val="00046EAE"/>
    <w:rsid w:val="00053462"/>
    <w:rsid w:val="00053B8F"/>
    <w:rsid w:val="00064D89"/>
    <w:rsid w:val="00065DBA"/>
    <w:rsid w:val="000743B7"/>
    <w:rsid w:val="00077104"/>
    <w:rsid w:val="000B5A30"/>
    <w:rsid w:val="001158E4"/>
    <w:rsid w:val="001356B2"/>
    <w:rsid w:val="00187DC0"/>
    <w:rsid w:val="00195941"/>
    <w:rsid w:val="001B14C7"/>
    <w:rsid w:val="001B7B83"/>
    <w:rsid w:val="001D33D4"/>
    <w:rsid w:val="001E2277"/>
    <w:rsid w:val="001F4004"/>
    <w:rsid w:val="0022488C"/>
    <w:rsid w:val="002250DD"/>
    <w:rsid w:val="00232DF6"/>
    <w:rsid w:val="002464B7"/>
    <w:rsid w:val="00246E99"/>
    <w:rsid w:val="00246FEC"/>
    <w:rsid w:val="00272702"/>
    <w:rsid w:val="00280277"/>
    <w:rsid w:val="0028495E"/>
    <w:rsid w:val="00287D43"/>
    <w:rsid w:val="00296801"/>
    <w:rsid w:val="002D020F"/>
    <w:rsid w:val="002D583F"/>
    <w:rsid w:val="002D66D4"/>
    <w:rsid w:val="002E7D99"/>
    <w:rsid w:val="002F02BA"/>
    <w:rsid w:val="002F5242"/>
    <w:rsid w:val="00324C41"/>
    <w:rsid w:val="0033417F"/>
    <w:rsid w:val="00341378"/>
    <w:rsid w:val="003450AB"/>
    <w:rsid w:val="00376665"/>
    <w:rsid w:val="003C6190"/>
    <w:rsid w:val="003C71F7"/>
    <w:rsid w:val="003D3806"/>
    <w:rsid w:val="003E4612"/>
    <w:rsid w:val="003F0635"/>
    <w:rsid w:val="00401EE3"/>
    <w:rsid w:val="00414CFD"/>
    <w:rsid w:val="004232A3"/>
    <w:rsid w:val="00437199"/>
    <w:rsid w:val="004640F1"/>
    <w:rsid w:val="004729C3"/>
    <w:rsid w:val="00480F96"/>
    <w:rsid w:val="004861B3"/>
    <w:rsid w:val="004B0CB8"/>
    <w:rsid w:val="004C4FDD"/>
    <w:rsid w:val="004D7055"/>
    <w:rsid w:val="004E39AE"/>
    <w:rsid w:val="00503531"/>
    <w:rsid w:val="00520930"/>
    <w:rsid w:val="00557E8C"/>
    <w:rsid w:val="005742B8"/>
    <w:rsid w:val="00596DF9"/>
    <w:rsid w:val="005B708E"/>
    <w:rsid w:val="005E5A86"/>
    <w:rsid w:val="006047A4"/>
    <w:rsid w:val="0061088A"/>
    <w:rsid w:val="006325AC"/>
    <w:rsid w:val="00641134"/>
    <w:rsid w:val="00697C43"/>
    <w:rsid w:val="006A261E"/>
    <w:rsid w:val="006C0947"/>
    <w:rsid w:val="006F6204"/>
    <w:rsid w:val="006F7D8D"/>
    <w:rsid w:val="00705785"/>
    <w:rsid w:val="00707A15"/>
    <w:rsid w:val="0071274F"/>
    <w:rsid w:val="007377B6"/>
    <w:rsid w:val="00742F88"/>
    <w:rsid w:val="007464A5"/>
    <w:rsid w:val="00753D01"/>
    <w:rsid w:val="00760E91"/>
    <w:rsid w:val="0078784E"/>
    <w:rsid w:val="007B785C"/>
    <w:rsid w:val="007C1EF4"/>
    <w:rsid w:val="007C4F87"/>
    <w:rsid w:val="007E16C6"/>
    <w:rsid w:val="007E507D"/>
    <w:rsid w:val="007E6E28"/>
    <w:rsid w:val="007F117F"/>
    <w:rsid w:val="0080312B"/>
    <w:rsid w:val="00825851"/>
    <w:rsid w:val="00836C11"/>
    <w:rsid w:val="008372F8"/>
    <w:rsid w:val="00843FCD"/>
    <w:rsid w:val="00852DA4"/>
    <w:rsid w:val="00860FA2"/>
    <w:rsid w:val="0089196D"/>
    <w:rsid w:val="008D5950"/>
    <w:rsid w:val="008E35A6"/>
    <w:rsid w:val="008E5F2A"/>
    <w:rsid w:val="008E6D07"/>
    <w:rsid w:val="008F5678"/>
    <w:rsid w:val="009175C9"/>
    <w:rsid w:val="009416F2"/>
    <w:rsid w:val="00951AE4"/>
    <w:rsid w:val="0095655B"/>
    <w:rsid w:val="00973820"/>
    <w:rsid w:val="009836D7"/>
    <w:rsid w:val="00986A6C"/>
    <w:rsid w:val="00986B42"/>
    <w:rsid w:val="00992389"/>
    <w:rsid w:val="009B092E"/>
    <w:rsid w:val="009E049D"/>
    <w:rsid w:val="009F7AFA"/>
    <w:rsid w:val="00A23391"/>
    <w:rsid w:val="00A36895"/>
    <w:rsid w:val="00A43C9A"/>
    <w:rsid w:val="00A50E19"/>
    <w:rsid w:val="00A80161"/>
    <w:rsid w:val="00AD0187"/>
    <w:rsid w:val="00AE01C9"/>
    <w:rsid w:val="00AF5BD6"/>
    <w:rsid w:val="00B14D2A"/>
    <w:rsid w:val="00B1561D"/>
    <w:rsid w:val="00B33886"/>
    <w:rsid w:val="00B4476E"/>
    <w:rsid w:val="00B6404B"/>
    <w:rsid w:val="00B70C4E"/>
    <w:rsid w:val="00B71349"/>
    <w:rsid w:val="00B81065"/>
    <w:rsid w:val="00B85124"/>
    <w:rsid w:val="00B915D8"/>
    <w:rsid w:val="00BD19D7"/>
    <w:rsid w:val="00BD345A"/>
    <w:rsid w:val="00BF207E"/>
    <w:rsid w:val="00C31857"/>
    <w:rsid w:val="00C678AD"/>
    <w:rsid w:val="00C714AD"/>
    <w:rsid w:val="00C82B04"/>
    <w:rsid w:val="00C84339"/>
    <w:rsid w:val="00C9393D"/>
    <w:rsid w:val="00CB2BA6"/>
    <w:rsid w:val="00CB3B04"/>
    <w:rsid w:val="00CC2C56"/>
    <w:rsid w:val="00CE3053"/>
    <w:rsid w:val="00CF7BAD"/>
    <w:rsid w:val="00D02177"/>
    <w:rsid w:val="00D062AD"/>
    <w:rsid w:val="00D15FF0"/>
    <w:rsid w:val="00D226A9"/>
    <w:rsid w:val="00D43686"/>
    <w:rsid w:val="00D76654"/>
    <w:rsid w:val="00D947DA"/>
    <w:rsid w:val="00DD73FD"/>
    <w:rsid w:val="00DF1A38"/>
    <w:rsid w:val="00E3663D"/>
    <w:rsid w:val="00E47699"/>
    <w:rsid w:val="00E54090"/>
    <w:rsid w:val="00E70BF1"/>
    <w:rsid w:val="00E74CF1"/>
    <w:rsid w:val="00E93A9D"/>
    <w:rsid w:val="00E95B34"/>
    <w:rsid w:val="00EA4EBB"/>
    <w:rsid w:val="00EA7D02"/>
    <w:rsid w:val="00EB7175"/>
    <w:rsid w:val="00EE311F"/>
    <w:rsid w:val="00EE7443"/>
    <w:rsid w:val="00F01948"/>
    <w:rsid w:val="00F16AB2"/>
    <w:rsid w:val="00F231AD"/>
    <w:rsid w:val="00F263AE"/>
    <w:rsid w:val="00F30F93"/>
    <w:rsid w:val="00F4352B"/>
    <w:rsid w:val="00F43B09"/>
    <w:rsid w:val="00F56B24"/>
    <w:rsid w:val="00F705CE"/>
    <w:rsid w:val="00F77526"/>
    <w:rsid w:val="00F96A3B"/>
    <w:rsid w:val="00FA0756"/>
    <w:rsid w:val="00FA33D7"/>
    <w:rsid w:val="00FB4DBA"/>
    <w:rsid w:val="00FB7E00"/>
    <w:rsid w:val="00FD5F44"/>
    <w:rsid w:val="00FF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paragraph" w:styleId="Revision">
    <w:name w:val="Revision"/>
    <w:hidden/>
    <w:uiPriority w:val="99"/>
    <w:semiHidden/>
    <w:rsid w:val="007E16C6"/>
    <w:pPr>
      <w:spacing w:after="0" w:line="240" w:lineRule="auto"/>
    </w:pPr>
  </w:style>
  <w:style w:type="paragraph" w:styleId="HTMLPreformatted">
    <w:name w:val="HTML Preformatted"/>
    <w:basedOn w:val="Normal"/>
    <w:link w:val="HTMLPreformattedChar"/>
    <w:uiPriority w:val="99"/>
    <w:semiHidden/>
    <w:unhideWhenUsed/>
    <w:rsid w:val="008372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72F8"/>
    <w:rPr>
      <w:rFonts w:ascii="Consolas" w:hAnsi="Consolas" w:cs="Consolas"/>
      <w:sz w:val="20"/>
      <w:szCs w:val="20"/>
    </w:rPr>
  </w:style>
  <w:style w:type="paragraph" w:customStyle="1" w:styleId="Default">
    <w:name w:val="Default"/>
    <w:rsid w:val="003C71F7"/>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paragraph" w:styleId="Revision">
    <w:name w:val="Revision"/>
    <w:hidden/>
    <w:uiPriority w:val="99"/>
    <w:semiHidden/>
    <w:rsid w:val="007E16C6"/>
    <w:pPr>
      <w:spacing w:after="0" w:line="240" w:lineRule="auto"/>
    </w:pPr>
  </w:style>
  <w:style w:type="paragraph" w:styleId="HTMLPreformatted">
    <w:name w:val="HTML Preformatted"/>
    <w:basedOn w:val="Normal"/>
    <w:link w:val="HTMLPreformattedChar"/>
    <w:uiPriority w:val="99"/>
    <w:semiHidden/>
    <w:unhideWhenUsed/>
    <w:rsid w:val="008372F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72F8"/>
    <w:rPr>
      <w:rFonts w:ascii="Consolas" w:hAnsi="Consolas" w:cs="Consolas"/>
      <w:sz w:val="20"/>
      <w:szCs w:val="20"/>
    </w:rPr>
  </w:style>
  <w:style w:type="paragraph" w:customStyle="1" w:styleId="Default">
    <w:name w:val="Default"/>
    <w:rsid w:val="003C71F7"/>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485">
      <w:bodyDiv w:val="1"/>
      <w:marLeft w:val="0"/>
      <w:marRight w:val="0"/>
      <w:marTop w:val="0"/>
      <w:marBottom w:val="0"/>
      <w:divBdr>
        <w:top w:val="none" w:sz="0" w:space="0" w:color="auto"/>
        <w:left w:val="none" w:sz="0" w:space="0" w:color="auto"/>
        <w:bottom w:val="none" w:sz="0" w:space="0" w:color="auto"/>
        <w:right w:val="none" w:sz="0" w:space="0" w:color="auto"/>
      </w:divBdr>
      <w:divsChild>
        <w:div w:id="52310854">
          <w:marLeft w:val="0"/>
          <w:marRight w:val="0"/>
          <w:marTop w:val="0"/>
          <w:marBottom w:val="0"/>
          <w:divBdr>
            <w:top w:val="none" w:sz="0" w:space="0" w:color="auto"/>
            <w:left w:val="none" w:sz="0" w:space="0" w:color="auto"/>
            <w:bottom w:val="none" w:sz="0" w:space="0" w:color="auto"/>
            <w:right w:val="none" w:sz="0" w:space="0" w:color="auto"/>
          </w:divBdr>
        </w:div>
        <w:div w:id="511260856">
          <w:marLeft w:val="0"/>
          <w:marRight w:val="0"/>
          <w:marTop w:val="0"/>
          <w:marBottom w:val="0"/>
          <w:divBdr>
            <w:top w:val="none" w:sz="0" w:space="0" w:color="auto"/>
            <w:left w:val="none" w:sz="0" w:space="0" w:color="auto"/>
            <w:bottom w:val="none" w:sz="0" w:space="0" w:color="auto"/>
            <w:right w:val="none" w:sz="0" w:space="0" w:color="auto"/>
          </w:divBdr>
        </w:div>
      </w:divsChild>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936058706">
      <w:bodyDiv w:val="1"/>
      <w:marLeft w:val="0"/>
      <w:marRight w:val="0"/>
      <w:marTop w:val="0"/>
      <w:marBottom w:val="0"/>
      <w:divBdr>
        <w:top w:val="none" w:sz="0" w:space="0" w:color="auto"/>
        <w:left w:val="none" w:sz="0" w:space="0" w:color="auto"/>
        <w:bottom w:val="none" w:sz="0" w:space="0" w:color="auto"/>
        <w:right w:val="none" w:sz="0" w:space="0" w:color="auto"/>
      </w:divBdr>
      <w:divsChild>
        <w:div w:id="2123106101">
          <w:marLeft w:val="0"/>
          <w:marRight w:val="0"/>
          <w:marTop w:val="0"/>
          <w:marBottom w:val="0"/>
          <w:divBdr>
            <w:top w:val="none" w:sz="0" w:space="0" w:color="auto"/>
            <w:left w:val="none" w:sz="0" w:space="0" w:color="auto"/>
            <w:bottom w:val="none" w:sz="0" w:space="0" w:color="auto"/>
            <w:right w:val="none" w:sz="0" w:space="0" w:color="auto"/>
          </w:divBdr>
        </w:div>
        <w:div w:id="157045267">
          <w:marLeft w:val="0"/>
          <w:marRight w:val="0"/>
          <w:marTop w:val="0"/>
          <w:marBottom w:val="0"/>
          <w:divBdr>
            <w:top w:val="none" w:sz="0" w:space="0" w:color="auto"/>
            <w:left w:val="none" w:sz="0" w:space="0" w:color="auto"/>
            <w:bottom w:val="none" w:sz="0" w:space="0" w:color="auto"/>
            <w:right w:val="none" w:sz="0" w:space="0" w:color="auto"/>
          </w:divBdr>
        </w:div>
      </w:divsChild>
    </w:div>
    <w:div w:id="965234176">
      <w:bodyDiv w:val="1"/>
      <w:marLeft w:val="0"/>
      <w:marRight w:val="0"/>
      <w:marTop w:val="0"/>
      <w:marBottom w:val="0"/>
      <w:divBdr>
        <w:top w:val="none" w:sz="0" w:space="0" w:color="auto"/>
        <w:left w:val="none" w:sz="0" w:space="0" w:color="auto"/>
        <w:bottom w:val="none" w:sz="0" w:space="0" w:color="auto"/>
        <w:right w:val="none" w:sz="0" w:space="0" w:color="auto"/>
      </w:divBdr>
      <w:divsChild>
        <w:div w:id="317343071">
          <w:marLeft w:val="0"/>
          <w:marRight w:val="0"/>
          <w:marTop w:val="0"/>
          <w:marBottom w:val="0"/>
          <w:divBdr>
            <w:top w:val="none" w:sz="0" w:space="0" w:color="auto"/>
            <w:left w:val="none" w:sz="0" w:space="0" w:color="auto"/>
            <w:bottom w:val="none" w:sz="0" w:space="0" w:color="auto"/>
            <w:right w:val="none" w:sz="0" w:space="0" w:color="auto"/>
          </w:divBdr>
        </w:div>
        <w:div w:id="2082020872">
          <w:marLeft w:val="0"/>
          <w:marRight w:val="0"/>
          <w:marTop w:val="0"/>
          <w:marBottom w:val="0"/>
          <w:divBdr>
            <w:top w:val="none" w:sz="0" w:space="0" w:color="auto"/>
            <w:left w:val="none" w:sz="0" w:space="0" w:color="auto"/>
            <w:bottom w:val="none" w:sz="0" w:space="0" w:color="auto"/>
            <w:right w:val="none" w:sz="0" w:space="0" w:color="auto"/>
          </w:divBdr>
        </w:div>
      </w:divsChild>
    </w:div>
    <w:div w:id="1063718536">
      <w:bodyDiv w:val="1"/>
      <w:marLeft w:val="0"/>
      <w:marRight w:val="0"/>
      <w:marTop w:val="0"/>
      <w:marBottom w:val="0"/>
      <w:divBdr>
        <w:top w:val="none" w:sz="0" w:space="0" w:color="auto"/>
        <w:left w:val="none" w:sz="0" w:space="0" w:color="auto"/>
        <w:bottom w:val="none" w:sz="0" w:space="0" w:color="auto"/>
        <w:right w:val="none" w:sz="0" w:space="0" w:color="auto"/>
      </w:divBdr>
    </w:div>
    <w:div w:id="1085373423">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796023170">
      <w:bodyDiv w:val="1"/>
      <w:marLeft w:val="0"/>
      <w:marRight w:val="0"/>
      <w:marTop w:val="0"/>
      <w:marBottom w:val="0"/>
      <w:divBdr>
        <w:top w:val="none" w:sz="0" w:space="0" w:color="auto"/>
        <w:left w:val="none" w:sz="0" w:space="0" w:color="auto"/>
        <w:bottom w:val="none" w:sz="0" w:space="0" w:color="auto"/>
        <w:right w:val="none" w:sz="0" w:space="0" w:color="auto"/>
      </w:divBdr>
      <w:divsChild>
        <w:div w:id="29306654">
          <w:marLeft w:val="0"/>
          <w:marRight w:val="0"/>
          <w:marTop w:val="0"/>
          <w:marBottom w:val="0"/>
          <w:divBdr>
            <w:top w:val="none" w:sz="0" w:space="0" w:color="auto"/>
            <w:left w:val="none" w:sz="0" w:space="0" w:color="auto"/>
            <w:bottom w:val="none" w:sz="0" w:space="0" w:color="auto"/>
            <w:right w:val="none" w:sz="0" w:space="0" w:color="auto"/>
          </w:divBdr>
        </w:div>
        <w:div w:id="689113845">
          <w:marLeft w:val="0"/>
          <w:marRight w:val="0"/>
          <w:marTop w:val="0"/>
          <w:marBottom w:val="0"/>
          <w:divBdr>
            <w:top w:val="none" w:sz="0" w:space="0" w:color="auto"/>
            <w:left w:val="none" w:sz="0" w:space="0" w:color="auto"/>
            <w:bottom w:val="none" w:sz="0" w:space="0" w:color="auto"/>
            <w:right w:val="none" w:sz="0" w:space="0" w:color="auto"/>
          </w:divBdr>
        </w:div>
      </w:divsChild>
    </w:div>
    <w:div w:id="19872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tituteproject.org/constitution/Egypt_2014.pdf" TargetMode="External"/><Relationship Id="rId18" Type="http://schemas.openxmlformats.org/officeDocument/2006/relationships/hyperlink" Target="http://www.ohchr.org/EN/HRBodies/UPR/Pages/EGSession20.aspx" TargetMode="External"/><Relationship Id="rId26" Type="http://schemas.openxmlformats.org/officeDocument/2006/relationships/hyperlink" Target="http://www.ohchr.org/EN/Pages/WelcomePage.aspx" TargetMode="External"/><Relationship Id="rId3" Type="http://schemas.openxmlformats.org/officeDocument/2006/relationships/styles" Target="styles.xml"/><Relationship Id="rId21" Type="http://schemas.openxmlformats.org/officeDocument/2006/relationships/hyperlink" Target="http://reliefweb.int/organization/unct-mozambique"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daccess-dds-ny.un.org/doc/UNDOC/GEN/G11/123/79/PDF/G1112379.pdf?OpenElement" TargetMode="External"/><Relationship Id="rId25" Type="http://schemas.openxmlformats.org/officeDocument/2006/relationships/hyperlink" Target="http://unhabitat.org/egypt/"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indicators.ohchr.org/" TargetMode="External"/><Relationship Id="rId20" Type="http://schemas.openxmlformats.org/officeDocument/2006/relationships/hyperlink" Target="http://daccess-dds-ny.un.org/doc/UNDOC/GEN/G14/138/61/PDF/G1413861.pdf?OpenElement" TargetMode="External"/><Relationship Id="rId29" Type="http://schemas.openxmlformats.org/officeDocument/2006/relationships/hyperlink" Target="http://www.ohchr.org/EN/Issues/Housing/Pages/HousingIndex.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unhabitat.org/nepa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pp.gov.eg/wp-content/uploads/2015/01/GOPP-PA_2014.pdf" TargetMode="External"/><Relationship Id="rId23" Type="http://schemas.openxmlformats.org/officeDocument/2006/relationships/hyperlink" Target="http://un.org.np/reports/undaf-2013-2017" TargetMode="External"/><Relationship Id="rId28" Type="http://schemas.openxmlformats.org/officeDocument/2006/relationships/hyperlink" Target="http://www.ohchr.org/EN/HRBodies/UPR/Pages/UPRMain.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2.ohchr.org/english/bodies/hrcouncil/docs/19session/A.HRC.19.21.Add.4_English.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moh.gov.eg/en/en_design/default_en.aspx" TargetMode="External"/><Relationship Id="rId22" Type="http://schemas.openxmlformats.org/officeDocument/2006/relationships/hyperlink" Target="http://www.unfpa.org/sites/default/files/portal-document/Egypt_UNDAF%202013-2017.pdf" TargetMode="External"/><Relationship Id="rId27" Type="http://schemas.openxmlformats.org/officeDocument/2006/relationships/hyperlink" Target="http://unhabitat.org/"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habitat.org/egypt/" TargetMode="External"/><Relationship Id="rId2" Type="http://schemas.openxmlformats.org/officeDocument/2006/relationships/hyperlink" Target="http://reliefweb.int/organization/unct-mozambique" TargetMode="External"/><Relationship Id="rId1" Type="http://schemas.openxmlformats.org/officeDocument/2006/relationships/hyperlink" Target="https://www.constituteproject.org/constitution/Egypt_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8AAA4A7A-BBF4-4482-A105-7BCCF70F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2</cp:revision>
  <cp:lastPrinted>2016-03-10T06:59:00Z</cp:lastPrinted>
  <dcterms:created xsi:type="dcterms:W3CDTF">2016-03-29T06:26:00Z</dcterms:created>
  <dcterms:modified xsi:type="dcterms:W3CDTF">2016-03-29T06:26:00Z</dcterms:modified>
</cp:coreProperties>
</file>