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DFD5" w14:textId="77777777" w:rsidR="001B63EF" w:rsidRPr="00F554EF" w:rsidRDefault="00BD792A" w:rsidP="00BD792A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F554EF">
        <w:rPr>
          <w:b/>
          <w:sz w:val="24"/>
        </w:rPr>
        <w:t xml:space="preserve">UN-Habitat Senior Management </w:t>
      </w:r>
      <w:r w:rsidR="002B4BFC" w:rsidRPr="00F554EF">
        <w:rPr>
          <w:b/>
          <w:sz w:val="24"/>
        </w:rPr>
        <w:t>Board</w:t>
      </w:r>
      <w:r w:rsidR="006E746A" w:rsidRPr="00F554EF">
        <w:rPr>
          <w:b/>
          <w:sz w:val="24"/>
        </w:rPr>
        <w:t>: Notes</w:t>
      </w:r>
    </w:p>
    <w:p w14:paraId="055CAF1F" w14:textId="44440D2F" w:rsidR="006E746A" w:rsidRPr="00F554EF" w:rsidRDefault="00BA7823" w:rsidP="00BD792A">
      <w:pPr>
        <w:spacing w:after="0" w:line="240" w:lineRule="auto"/>
        <w:rPr>
          <w:b/>
          <w:sz w:val="24"/>
        </w:rPr>
      </w:pPr>
      <w:r w:rsidRPr="00F554EF">
        <w:rPr>
          <w:b/>
          <w:sz w:val="24"/>
        </w:rPr>
        <w:t>3 July 2018</w:t>
      </w:r>
    </w:p>
    <w:p w14:paraId="4FB6E957" w14:textId="77777777" w:rsidR="00302FBC" w:rsidRPr="00F554EF" w:rsidRDefault="00302FBC" w:rsidP="00BD792A">
      <w:pPr>
        <w:spacing w:after="0" w:line="240" w:lineRule="auto"/>
        <w:rPr>
          <w:b/>
          <w:sz w:val="24"/>
        </w:rPr>
      </w:pPr>
    </w:p>
    <w:p w14:paraId="37228779" w14:textId="291447C5" w:rsidR="00CC76CF" w:rsidRPr="00F554EF" w:rsidRDefault="00CC76CF" w:rsidP="00BD792A">
      <w:pPr>
        <w:spacing w:after="0" w:line="240" w:lineRule="auto"/>
        <w:rPr>
          <w:sz w:val="24"/>
        </w:rPr>
      </w:pPr>
      <w:r w:rsidRPr="00F554EF">
        <w:rPr>
          <w:b/>
          <w:sz w:val="24"/>
        </w:rPr>
        <w:t xml:space="preserve">Attendees: </w:t>
      </w:r>
      <w:r w:rsidR="00D41F66" w:rsidRPr="00D41F66">
        <w:rPr>
          <w:sz w:val="24"/>
        </w:rPr>
        <w:t>Aisa K.Kirabo</w:t>
      </w:r>
      <w:r w:rsidR="00D41F66">
        <w:rPr>
          <w:b/>
          <w:sz w:val="24"/>
        </w:rPr>
        <w:t xml:space="preserve">, </w:t>
      </w:r>
      <w:r w:rsidR="00913659" w:rsidRPr="00F554EF">
        <w:rPr>
          <w:sz w:val="24"/>
        </w:rPr>
        <w:t xml:space="preserve">DED, </w:t>
      </w:r>
      <w:r w:rsidR="00402CB1" w:rsidRPr="00F554EF">
        <w:rPr>
          <w:sz w:val="24"/>
        </w:rPr>
        <w:t>Christine Musisi, Raf Tuts,</w:t>
      </w:r>
      <w:r w:rsidR="008F495F" w:rsidRPr="00F554EF">
        <w:rPr>
          <w:sz w:val="24"/>
        </w:rPr>
        <w:t xml:space="preserve"> </w:t>
      </w:r>
      <w:r w:rsidR="0095346D" w:rsidRPr="00F554EF">
        <w:rPr>
          <w:sz w:val="24"/>
        </w:rPr>
        <w:t>Chris Kirkcaldy</w:t>
      </w:r>
      <w:r w:rsidR="008F495F" w:rsidRPr="00F554EF">
        <w:rPr>
          <w:sz w:val="24"/>
        </w:rPr>
        <w:t>,</w:t>
      </w:r>
      <w:r w:rsidR="00402CB1" w:rsidRPr="00F554EF">
        <w:rPr>
          <w:sz w:val="24"/>
        </w:rPr>
        <w:t xml:space="preserve"> Kazumi Ogawa, </w:t>
      </w:r>
      <w:r w:rsidR="0095346D" w:rsidRPr="00F554EF">
        <w:rPr>
          <w:sz w:val="24"/>
        </w:rPr>
        <w:t xml:space="preserve">Atsushi Koresawa, </w:t>
      </w:r>
      <w:r w:rsidR="005B652A" w:rsidRPr="00F554EF">
        <w:rPr>
          <w:sz w:val="24"/>
        </w:rPr>
        <w:t xml:space="preserve">Zena Ali Ahmad, </w:t>
      </w:r>
      <w:r w:rsidR="00402CB1" w:rsidRPr="00F554EF">
        <w:rPr>
          <w:sz w:val="24"/>
        </w:rPr>
        <w:t>Shipra Narang Suri</w:t>
      </w:r>
      <w:r w:rsidR="00202C5F" w:rsidRPr="00F554EF">
        <w:rPr>
          <w:sz w:val="24"/>
        </w:rPr>
        <w:t>,</w:t>
      </w:r>
      <w:r w:rsidR="0095346D" w:rsidRPr="00F554EF">
        <w:rPr>
          <w:sz w:val="24"/>
        </w:rPr>
        <w:t xml:space="preserve"> </w:t>
      </w:r>
      <w:r w:rsidR="005B652A" w:rsidRPr="00F554EF">
        <w:rPr>
          <w:sz w:val="24"/>
        </w:rPr>
        <w:t xml:space="preserve">Andre Dzikus, </w:t>
      </w:r>
      <w:r w:rsidR="0095346D" w:rsidRPr="00F554EF">
        <w:rPr>
          <w:sz w:val="24"/>
        </w:rPr>
        <w:t>Eduardo Moreno,</w:t>
      </w:r>
      <w:r w:rsidR="006E59E1" w:rsidRPr="00F554EF">
        <w:rPr>
          <w:sz w:val="24"/>
        </w:rPr>
        <w:t xml:space="preserve"> </w:t>
      </w:r>
      <w:r w:rsidR="0095346D" w:rsidRPr="00F554EF">
        <w:rPr>
          <w:sz w:val="24"/>
        </w:rPr>
        <w:t>Robert Lewis-Lettington,</w:t>
      </w:r>
      <w:r w:rsidR="008F495F" w:rsidRPr="00F554EF">
        <w:rPr>
          <w:sz w:val="24"/>
        </w:rPr>
        <w:t xml:space="preserve"> </w:t>
      </w:r>
      <w:r w:rsidR="0095346D" w:rsidRPr="00F554EF">
        <w:rPr>
          <w:sz w:val="24"/>
        </w:rPr>
        <w:t xml:space="preserve">Saidou N’Dow, Jane Nyakairu, </w:t>
      </w:r>
      <w:r w:rsidR="008F495F" w:rsidRPr="00F554EF">
        <w:rPr>
          <w:sz w:val="24"/>
        </w:rPr>
        <w:t xml:space="preserve">Paulius </w:t>
      </w:r>
      <w:r w:rsidR="007270B8" w:rsidRPr="00F554EF">
        <w:rPr>
          <w:sz w:val="24"/>
        </w:rPr>
        <w:t>Kulikauskas</w:t>
      </w:r>
      <w:r w:rsidR="006E59E1" w:rsidRPr="00F554EF">
        <w:rPr>
          <w:sz w:val="24"/>
        </w:rPr>
        <w:t>, Haris Pajtic, Mathias Spaliviero</w:t>
      </w:r>
      <w:r w:rsidR="00913659" w:rsidRPr="00F554EF">
        <w:rPr>
          <w:sz w:val="24"/>
        </w:rPr>
        <w:t xml:space="preserve">. </w:t>
      </w:r>
      <w:r w:rsidR="00545E8C" w:rsidRPr="00F554EF">
        <w:rPr>
          <w:b/>
          <w:sz w:val="24"/>
        </w:rPr>
        <w:t>Absent:</w:t>
      </w:r>
      <w:r w:rsidR="00545E8C" w:rsidRPr="00F554EF">
        <w:rPr>
          <w:sz w:val="24"/>
        </w:rPr>
        <w:t xml:space="preserve"> </w:t>
      </w:r>
      <w:r w:rsidR="0095346D" w:rsidRPr="00F554EF">
        <w:rPr>
          <w:sz w:val="24"/>
        </w:rPr>
        <w:t>Naison Mutizwa-Mangiza</w:t>
      </w:r>
      <w:r w:rsidR="006E59E1" w:rsidRPr="00F554EF">
        <w:rPr>
          <w:sz w:val="24"/>
        </w:rPr>
        <w:t xml:space="preserve">, </w:t>
      </w:r>
      <w:r w:rsidR="00140A9D" w:rsidRPr="00F554EF">
        <w:rPr>
          <w:sz w:val="24"/>
        </w:rPr>
        <w:t>Elkin Velasquez</w:t>
      </w:r>
      <w:r w:rsidR="006E59E1" w:rsidRPr="00F554EF">
        <w:rPr>
          <w:sz w:val="24"/>
        </w:rPr>
        <w:t>, Marco Kamiya, Kerstin Sommer</w:t>
      </w:r>
      <w:r w:rsidR="005B652A" w:rsidRPr="00F554EF">
        <w:rPr>
          <w:sz w:val="24"/>
        </w:rPr>
        <w:t>.</w:t>
      </w:r>
    </w:p>
    <w:p w14:paraId="42B3F0C4" w14:textId="77777777" w:rsidR="00302FBC" w:rsidRPr="00F554EF" w:rsidRDefault="00302FBC" w:rsidP="00BD792A">
      <w:pPr>
        <w:spacing w:after="0" w:line="240" w:lineRule="auto"/>
        <w:rPr>
          <w:sz w:val="24"/>
        </w:rPr>
      </w:pPr>
    </w:p>
    <w:tbl>
      <w:tblPr>
        <w:tblStyle w:val="TableGrid"/>
        <w:tblW w:w="14885" w:type="dxa"/>
        <w:tblInd w:w="-176" w:type="dxa"/>
        <w:tblLook w:val="04A0" w:firstRow="1" w:lastRow="0" w:firstColumn="1" w:lastColumn="0" w:noHBand="0" w:noVBand="1"/>
      </w:tblPr>
      <w:tblGrid>
        <w:gridCol w:w="621"/>
        <w:gridCol w:w="2073"/>
        <w:gridCol w:w="5528"/>
        <w:gridCol w:w="3969"/>
        <w:gridCol w:w="2694"/>
      </w:tblGrid>
      <w:tr w:rsidR="00F7023A" w:rsidRPr="00F554EF" w14:paraId="3314C4C2" w14:textId="77777777" w:rsidTr="0013205E">
        <w:trPr>
          <w:trHeight w:val="430"/>
        </w:trPr>
        <w:tc>
          <w:tcPr>
            <w:tcW w:w="621" w:type="dxa"/>
          </w:tcPr>
          <w:p w14:paraId="0C2877CE" w14:textId="77777777" w:rsidR="00074F18" w:rsidRPr="00F554EF" w:rsidRDefault="00074F18" w:rsidP="00CC76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0788E332" w14:textId="77777777" w:rsidR="00074F18" w:rsidRPr="00F554EF" w:rsidRDefault="00074F18" w:rsidP="00CC76CF">
            <w:pPr>
              <w:spacing w:after="120"/>
              <w:jc w:val="center"/>
              <w:rPr>
                <w:b/>
              </w:rPr>
            </w:pPr>
            <w:r w:rsidRPr="00F554EF">
              <w:rPr>
                <w:b/>
              </w:rPr>
              <w:t>Agenda item raised</w:t>
            </w:r>
          </w:p>
        </w:tc>
        <w:tc>
          <w:tcPr>
            <w:tcW w:w="5528" w:type="dxa"/>
          </w:tcPr>
          <w:p w14:paraId="2980A1F9" w14:textId="77777777" w:rsidR="00074F18" w:rsidRPr="00F554EF" w:rsidRDefault="00074F18" w:rsidP="00CC76CF">
            <w:pPr>
              <w:spacing w:after="120"/>
              <w:jc w:val="center"/>
              <w:rPr>
                <w:b/>
              </w:rPr>
            </w:pPr>
            <w:r w:rsidRPr="00F554EF">
              <w:rPr>
                <w:b/>
              </w:rPr>
              <w:t>Main issues &amp; discussion</w:t>
            </w:r>
          </w:p>
        </w:tc>
        <w:tc>
          <w:tcPr>
            <w:tcW w:w="3969" w:type="dxa"/>
          </w:tcPr>
          <w:p w14:paraId="46D298C3" w14:textId="77777777" w:rsidR="00074F18" w:rsidRPr="00F554EF" w:rsidRDefault="00074F18" w:rsidP="00CC76CF">
            <w:pPr>
              <w:spacing w:after="120"/>
              <w:jc w:val="center"/>
              <w:rPr>
                <w:b/>
              </w:rPr>
            </w:pPr>
            <w:r w:rsidRPr="00F554EF">
              <w:rPr>
                <w:b/>
              </w:rPr>
              <w:t>Action to be taken</w:t>
            </w:r>
          </w:p>
        </w:tc>
        <w:tc>
          <w:tcPr>
            <w:tcW w:w="2694" w:type="dxa"/>
          </w:tcPr>
          <w:p w14:paraId="183B3960" w14:textId="77777777" w:rsidR="00074F18" w:rsidRPr="00F554EF" w:rsidRDefault="00074F18" w:rsidP="00CC76CF">
            <w:pPr>
              <w:spacing w:after="120"/>
              <w:jc w:val="center"/>
              <w:rPr>
                <w:b/>
              </w:rPr>
            </w:pPr>
            <w:r w:rsidRPr="00F554EF">
              <w:rPr>
                <w:b/>
              </w:rPr>
              <w:t>By who</w:t>
            </w:r>
            <w:r w:rsidR="00AB4B1F" w:rsidRPr="00F554EF">
              <w:rPr>
                <w:b/>
              </w:rPr>
              <w:t>m</w:t>
            </w:r>
            <w:r w:rsidRPr="00F554EF">
              <w:rPr>
                <w:b/>
              </w:rPr>
              <w:t xml:space="preserve"> &amp; when</w:t>
            </w:r>
          </w:p>
        </w:tc>
      </w:tr>
      <w:tr w:rsidR="00F7023A" w:rsidRPr="00F554EF" w14:paraId="15E84566" w14:textId="77777777" w:rsidTr="00F7023A">
        <w:tc>
          <w:tcPr>
            <w:tcW w:w="621" w:type="dxa"/>
          </w:tcPr>
          <w:p w14:paraId="3ECD18C0" w14:textId="77777777" w:rsidR="00FE41EA" w:rsidRPr="00F554EF" w:rsidRDefault="00FE41EA" w:rsidP="00FE41EA">
            <w:pPr>
              <w:spacing w:after="120"/>
              <w:rPr>
                <w:b/>
              </w:rPr>
            </w:pPr>
            <w:r w:rsidRPr="00F554EF">
              <w:rPr>
                <w:b/>
              </w:rPr>
              <w:t>0</w:t>
            </w:r>
          </w:p>
        </w:tc>
        <w:tc>
          <w:tcPr>
            <w:tcW w:w="2073" w:type="dxa"/>
          </w:tcPr>
          <w:p w14:paraId="5D3B4228" w14:textId="476CDD39" w:rsidR="00FE41EA" w:rsidRPr="00F554EF" w:rsidRDefault="00897DF4" w:rsidP="004C428B">
            <w:pPr>
              <w:spacing w:before="120" w:after="120"/>
              <w:rPr>
                <w:b/>
              </w:rPr>
            </w:pPr>
            <w:r w:rsidRPr="00F554EF">
              <w:rPr>
                <w:b/>
              </w:rPr>
              <w:t>Review of outstanding items from past SMB</w:t>
            </w:r>
            <w:r w:rsidR="00001AB2" w:rsidRPr="00F554EF">
              <w:rPr>
                <w:b/>
              </w:rPr>
              <w:t>s</w:t>
            </w:r>
            <w:r w:rsidR="00A52363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3BDDD23F" w14:textId="77777777" w:rsidR="00587124" w:rsidRDefault="00587124" w:rsidP="00587124">
            <w:pPr>
              <w:spacing w:before="120" w:after="120"/>
            </w:pPr>
            <w:r w:rsidRPr="00587124">
              <w:rPr>
                <w:b/>
              </w:rPr>
              <w:t xml:space="preserve">1. </w:t>
            </w:r>
            <w:r w:rsidR="00CD472E" w:rsidRPr="00F554EF">
              <w:t>e-Performance: Reminder to finalise 2017-2018 evaluations and 2018-2018 work-plans.</w:t>
            </w:r>
          </w:p>
          <w:p w14:paraId="343C36F3" w14:textId="0560511C" w:rsidR="00647932" w:rsidRPr="00F554EF" w:rsidRDefault="00587124" w:rsidP="00587124">
            <w:pPr>
              <w:spacing w:before="120" w:after="120"/>
            </w:pPr>
            <w:r w:rsidRPr="00587124">
              <w:rPr>
                <w:b/>
              </w:rPr>
              <w:t xml:space="preserve">2. </w:t>
            </w:r>
            <w:r w:rsidR="00CD472E" w:rsidRPr="00F554EF">
              <w:t>Reminder on mandatory training – SMB had committed to 100% compliance by end August 2018</w:t>
            </w:r>
            <w:r w:rsidR="00647932" w:rsidRPr="00F554EF">
              <w:t>.</w:t>
            </w:r>
          </w:p>
        </w:tc>
        <w:tc>
          <w:tcPr>
            <w:tcW w:w="3969" w:type="dxa"/>
          </w:tcPr>
          <w:p w14:paraId="00F0AC2D" w14:textId="505BFE3A" w:rsidR="008E5CAF" w:rsidRPr="00F554EF" w:rsidRDefault="007270B8" w:rsidP="004C428B">
            <w:pPr>
              <w:spacing w:before="120" w:after="120"/>
            </w:pPr>
            <w:r w:rsidRPr="00F554EF">
              <w:rPr>
                <w:b/>
              </w:rPr>
              <w:t>1.</w:t>
            </w:r>
            <w:r w:rsidRPr="00F554EF">
              <w:t xml:space="preserve"> </w:t>
            </w:r>
            <w:r w:rsidR="00CD472E" w:rsidRPr="00F554EF">
              <w:t>SMB to ensure compliance by respective divisions/branches/units.</w:t>
            </w:r>
          </w:p>
          <w:p w14:paraId="15A1D60F" w14:textId="72794842" w:rsidR="00307DE9" w:rsidRPr="00F554EF" w:rsidRDefault="00CD472E" w:rsidP="004C428B">
            <w:pPr>
              <w:spacing w:before="120" w:after="120"/>
            </w:pPr>
            <w:r w:rsidRPr="00F554EF">
              <w:rPr>
                <w:b/>
              </w:rPr>
              <w:t>2</w:t>
            </w:r>
            <w:r w:rsidR="008E5CAF" w:rsidRPr="00F554EF">
              <w:rPr>
                <w:b/>
              </w:rPr>
              <w:t>.</w:t>
            </w:r>
            <w:r w:rsidR="008E5CAF" w:rsidRPr="00F554EF">
              <w:t xml:space="preserve"> </w:t>
            </w:r>
            <w:r w:rsidRPr="00F554EF">
              <w:t>SMB to comply.</w:t>
            </w:r>
          </w:p>
          <w:p w14:paraId="79D53544" w14:textId="491DA7BC" w:rsidR="00BA432A" w:rsidRPr="00F554EF" w:rsidRDefault="00BA432A" w:rsidP="004C428B">
            <w:pPr>
              <w:spacing w:before="120" w:after="120"/>
            </w:pPr>
          </w:p>
        </w:tc>
        <w:tc>
          <w:tcPr>
            <w:tcW w:w="2694" w:type="dxa"/>
          </w:tcPr>
          <w:p w14:paraId="03696D57" w14:textId="0ECCDC3C" w:rsidR="0013205E" w:rsidRPr="00F554EF" w:rsidRDefault="00BC18AC" w:rsidP="004C428B">
            <w:pPr>
              <w:spacing w:before="120" w:after="120"/>
            </w:pPr>
            <w:r w:rsidRPr="00F554EF">
              <w:rPr>
                <w:b/>
              </w:rPr>
              <w:t>1.</w:t>
            </w:r>
            <w:r w:rsidRPr="00F554EF">
              <w:t xml:space="preserve"> </w:t>
            </w:r>
            <w:r w:rsidR="00CD472E" w:rsidRPr="00F554EF">
              <w:t>Asap</w:t>
            </w:r>
          </w:p>
          <w:p w14:paraId="686C182C" w14:textId="12F5A541" w:rsidR="00BA432A" w:rsidRPr="00F554EF" w:rsidRDefault="00913659" w:rsidP="004C428B">
            <w:pPr>
              <w:spacing w:before="120" w:after="120"/>
            </w:pPr>
            <w:r w:rsidRPr="00F554EF">
              <w:rPr>
                <w:b/>
              </w:rPr>
              <w:t>2.</w:t>
            </w:r>
            <w:r w:rsidRPr="00F554EF">
              <w:t xml:space="preserve"> </w:t>
            </w:r>
            <w:r w:rsidR="00CD472E" w:rsidRPr="00F554EF">
              <w:t>End August 2018</w:t>
            </w:r>
          </w:p>
        </w:tc>
      </w:tr>
      <w:tr w:rsidR="00F7023A" w:rsidRPr="00F554EF" w14:paraId="353C6FBA" w14:textId="77777777" w:rsidTr="00F7023A">
        <w:tc>
          <w:tcPr>
            <w:tcW w:w="621" w:type="dxa"/>
          </w:tcPr>
          <w:p w14:paraId="0ABB25BC" w14:textId="77777777" w:rsidR="002B4BFC" w:rsidRPr="00F554EF" w:rsidRDefault="008E5CAF" w:rsidP="002B4BFC">
            <w:pPr>
              <w:spacing w:after="120"/>
              <w:rPr>
                <w:b/>
              </w:rPr>
            </w:pPr>
            <w:r w:rsidRPr="00F554EF">
              <w:rPr>
                <w:b/>
              </w:rPr>
              <w:t>1</w:t>
            </w:r>
          </w:p>
        </w:tc>
        <w:tc>
          <w:tcPr>
            <w:tcW w:w="2073" w:type="dxa"/>
          </w:tcPr>
          <w:p w14:paraId="48A3624E" w14:textId="4147C8C9" w:rsidR="002B4BFC" w:rsidRPr="00F554EF" w:rsidRDefault="00CD472E" w:rsidP="004C428B">
            <w:pPr>
              <w:spacing w:before="120" w:after="120"/>
              <w:rPr>
                <w:b/>
              </w:rPr>
            </w:pPr>
            <w:r w:rsidRPr="00F554EF">
              <w:rPr>
                <w:b/>
              </w:rPr>
              <w:t>UN-Habitat reform</w:t>
            </w:r>
            <w:r w:rsidR="00E93D07" w:rsidRPr="00F554EF">
              <w:rPr>
                <w:b/>
              </w:rPr>
              <w:t xml:space="preserve"> (DED</w:t>
            </w:r>
            <w:r w:rsidR="007777AF" w:rsidRPr="00F554EF">
              <w:rPr>
                <w:b/>
              </w:rPr>
              <w:t>)</w:t>
            </w:r>
          </w:p>
        </w:tc>
        <w:tc>
          <w:tcPr>
            <w:tcW w:w="5528" w:type="dxa"/>
          </w:tcPr>
          <w:p w14:paraId="440E2C52" w14:textId="5334AC85" w:rsidR="00647932" w:rsidRPr="00F554EF" w:rsidRDefault="00647932" w:rsidP="004C428B">
            <w:pPr>
              <w:spacing w:before="120" w:after="120"/>
            </w:pPr>
            <w:r w:rsidRPr="00F554EF">
              <w:rPr>
                <w:b/>
              </w:rPr>
              <w:t>1.</w:t>
            </w:r>
            <w:r w:rsidRPr="00F554EF">
              <w:t xml:space="preserve"> DED reiterated that </w:t>
            </w:r>
            <w:r w:rsidR="008F6B9F" w:rsidRPr="00F554EF">
              <w:t xml:space="preserve">the </w:t>
            </w:r>
            <w:r w:rsidRPr="00F554EF">
              <w:t xml:space="preserve">ED expected SMB to support her decision to ask the Secretary-General for help in stopping the declining financial situation, and to support Chris Kirkcaldy, who had been appointed by DM to manage the financial and related administrative situation. </w:t>
            </w:r>
            <w:r w:rsidR="008F6B9F" w:rsidRPr="00F554EF">
              <w:t>The ED counts on</w:t>
            </w:r>
            <w:r w:rsidRPr="00F554EF">
              <w:t xml:space="preserve"> managers to communicate well with their teams. The ED had asked all staff to support the reform wholeheartedly, and as </w:t>
            </w:r>
            <w:r w:rsidR="008F6B9F" w:rsidRPr="00F554EF">
              <w:t xml:space="preserve">senior </w:t>
            </w:r>
            <w:r w:rsidRPr="00F554EF">
              <w:t xml:space="preserve">leaders, it </w:t>
            </w:r>
            <w:r w:rsidR="008F6B9F" w:rsidRPr="00F554EF">
              <w:t>is</w:t>
            </w:r>
            <w:r w:rsidRPr="00F554EF">
              <w:t xml:space="preserve"> up to the SMB to project calm</w:t>
            </w:r>
            <w:r w:rsidR="008F6B9F" w:rsidRPr="00F554EF">
              <w:t>.</w:t>
            </w:r>
            <w:r w:rsidRPr="00F554EF">
              <w:t xml:space="preserve"> </w:t>
            </w:r>
            <w:r w:rsidR="008F6B9F" w:rsidRPr="00F554EF">
              <w:t>The DED noted that Member States would shortly be informed, but it would not</w:t>
            </w:r>
            <w:r w:rsidRPr="00F554EF">
              <w:t xml:space="preserve"> be a surprise, as they were aware of </w:t>
            </w:r>
            <w:r w:rsidR="008F6B9F" w:rsidRPr="00F554EF">
              <w:t>UNH’s financial situation</w:t>
            </w:r>
            <w:r w:rsidRPr="00F554EF">
              <w:t xml:space="preserve">. Austerity measures are only part of the overall reform.  </w:t>
            </w:r>
          </w:p>
          <w:p w14:paraId="74AB76F2" w14:textId="34B0305E" w:rsidR="00647932" w:rsidRPr="00F554EF" w:rsidRDefault="00647932" w:rsidP="004C428B">
            <w:pPr>
              <w:spacing w:before="120" w:after="120"/>
            </w:pPr>
            <w:r w:rsidRPr="00F554EF">
              <w:rPr>
                <w:b/>
              </w:rPr>
              <w:t>2.</w:t>
            </w:r>
            <w:r w:rsidRPr="00F554EF">
              <w:t xml:space="preserve"> </w:t>
            </w:r>
            <w:r w:rsidR="00A52363">
              <w:rPr>
                <w:sz w:val="24"/>
              </w:rPr>
              <w:t>A member</w:t>
            </w:r>
            <w:r w:rsidRPr="00F554EF">
              <w:t xml:space="preserve"> stated he was here to support ED with “one piece” to the overall reform of UN-Habitat, starting with fact-finding.  His job is to look forward, he intends to take a measured approach</w:t>
            </w:r>
            <w:r w:rsidR="008F6B9F" w:rsidRPr="00F554EF">
              <w:t xml:space="preserve"> to close the gap</w:t>
            </w:r>
            <w:r w:rsidRPr="00F554EF">
              <w:t>, assess the situation</w:t>
            </w:r>
            <w:r w:rsidR="008F6B9F" w:rsidRPr="00F554EF">
              <w:t xml:space="preserve"> and</w:t>
            </w:r>
            <w:r w:rsidRPr="00F554EF">
              <w:t xml:space="preserve"> be transparent about </w:t>
            </w:r>
            <w:r w:rsidR="008F6B9F" w:rsidRPr="00F554EF">
              <w:t xml:space="preserve">is. </w:t>
            </w:r>
            <w:r w:rsidRPr="00F554EF">
              <w:t xml:space="preserve">He added he was anxious to avoid impeding the operations/business of UN-Habitat. At the same time, he noted he is not reassigned to this role, but that it was in addition to his other functions. He would </w:t>
            </w:r>
            <w:r w:rsidRPr="00F554EF">
              <w:lastRenderedPageBreak/>
              <w:t>therefore like to find a way to allow for work that does not fall under his task to continue.</w:t>
            </w:r>
          </w:p>
          <w:p w14:paraId="66AB51DC" w14:textId="558E99FE" w:rsidR="00647932" w:rsidRPr="00F554EF" w:rsidRDefault="00647932" w:rsidP="004C428B">
            <w:pPr>
              <w:spacing w:before="120" w:after="120"/>
            </w:pPr>
            <w:r w:rsidRPr="00F554EF">
              <w:rPr>
                <w:b/>
              </w:rPr>
              <w:t xml:space="preserve">3. </w:t>
            </w:r>
            <w:r w:rsidRPr="00F554EF">
              <w:t xml:space="preserve">DED reminded the SMB that the larger vision and “prosperity plan” (mentioned by some SMB members) is the responsibility of UN-Habitat. </w:t>
            </w:r>
            <w:r w:rsidR="008F6B9F" w:rsidRPr="00F554EF">
              <w:t>A</w:t>
            </w:r>
            <w:r w:rsidRPr="00F554EF">
              <w:t xml:space="preserve">usterity is a priority. </w:t>
            </w:r>
          </w:p>
          <w:p w14:paraId="4484B24A" w14:textId="77777777" w:rsidR="00A52363" w:rsidRDefault="00647932" w:rsidP="00A52363">
            <w:pPr>
              <w:spacing w:before="120" w:after="120"/>
            </w:pPr>
            <w:r w:rsidRPr="00F554EF">
              <w:rPr>
                <w:b/>
              </w:rPr>
              <w:t xml:space="preserve">4. </w:t>
            </w:r>
            <w:r w:rsidR="00A52363">
              <w:rPr>
                <w:sz w:val="24"/>
              </w:rPr>
              <w:t>A member</w:t>
            </w:r>
            <w:r w:rsidR="00D41F66" w:rsidRPr="00F554EF">
              <w:t xml:space="preserve"> </w:t>
            </w:r>
            <w:r w:rsidRPr="00F554EF">
              <w:t xml:space="preserve">noted that </w:t>
            </w:r>
            <w:r w:rsidR="008F6B9F" w:rsidRPr="00F554EF">
              <w:t>changes in MOD</w:t>
            </w:r>
            <w:r w:rsidRPr="00F554EF">
              <w:t xml:space="preserve"> </w:t>
            </w:r>
            <w:r w:rsidR="008F6B9F" w:rsidRPr="00F554EF">
              <w:t>are</w:t>
            </w:r>
            <w:r w:rsidRPr="00F554EF">
              <w:t xml:space="preserve"> not “business as usual”. Finance teams of UNON and MOD will sit together to glean out the facts. The Foundation is at the heart of the business of UN-Habitat; while the PSC account has a balance, it cannot not carry all the costs of UN-Habitat</w:t>
            </w:r>
          </w:p>
          <w:p w14:paraId="5EC7F0C0" w14:textId="1E46C0D0" w:rsidR="00603EF3" w:rsidRPr="00F554EF" w:rsidRDefault="00C52996" w:rsidP="00A52363">
            <w:pPr>
              <w:spacing w:before="120" w:after="120"/>
            </w:pPr>
            <w:r w:rsidRPr="00F554EF">
              <w:rPr>
                <w:b/>
              </w:rPr>
              <w:t>5.</w:t>
            </w:r>
            <w:r w:rsidRPr="00F554EF">
              <w:t xml:space="preserve"> </w:t>
            </w:r>
            <w:r w:rsidR="00647932" w:rsidRPr="00F554EF">
              <w:t xml:space="preserve">Several SMB members urged the ED to consider a town hall. </w:t>
            </w:r>
          </w:p>
        </w:tc>
        <w:tc>
          <w:tcPr>
            <w:tcW w:w="3969" w:type="dxa"/>
          </w:tcPr>
          <w:p w14:paraId="4EBBE356" w14:textId="5044D710" w:rsidR="00C52996" w:rsidRPr="00F554EF" w:rsidRDefault="00C52996" w:rsidP="004C428B">
            <w:pPr>
              <w:spacing w:before="120"/>
            </w:pPr>
            <w:r w:rsidRPr="00F554EF">
              <w:rPr>
                <w:b/>
              </w:rPr>
              <w:lastRenderedPageBreak/>
              <w:t>1-5.</w:t>
            </w:r>
            <w:r w:rsidRPr="00F554EF">
              <w:t xml:space="preserve"> Share with SMB the messages already given to some member States.</w:t>
            </w:r>
          </w:p>
          <w:p w14:paraId="190D4A43" w14:textId="594F3F86" w:rsidR="00C52996" w:rsidRPr="00F554EF" w:rsidRDefault="00C52996" w:rsidP="004C428B">
            <w:pPr>
              <w:spacing w:before="120"/>
            </w:pPr>
            <w:r w:rsidRPr="00F554EF">
              <w:rPr>
                <w:b/>
              </w:rPr>
              <w:t>1-5.</w:t>
            </w:r>
            <w:r w:rsidRPr="00F554EF">
              <w:t xml:space="preserve"> Town hall to be suggested to ED.</w:t>
            </w:r>
          </w:p>
          <w:p w14:paraId="376BCEEA" w14:textId="725C01BF" w:rsidR="00BA15E6" w:rsidRPr="00F554EF" w:rsidRDefault="00BA15E6" w:rsidP="004C428B">
            <w:pPr>
              <w:spacing w:before="120" w:after="120"/>
            </w:pPr>
          </w:p>
        </w:tc>
        <w:tc>
          <w:tcPr>
            <w:tcW w:w="2694" w:type="dxa"/>
          </w:tcPr>
          <w:p w14:paraId="3DEDC6B1" w14:textId="282FD545" w:rsidR="003762A8" w:rsidRPr="00F554EF" w:rsidRDefault="004C08AE" w:rsidP="004C428B">
            <w:pPr>
              <w:spacing w:before="120" w:after="120"/>
            </w:pPr>
            <w:r w:rsidRPr="00F554EF">
              <w:rPr>
                <w:b/>
              </w:rPr>
              <w:t>1.</w:t>
            </w:r>
            <w:r w:rsidR="004631B8" w:rsidRPr="00F554EF">
              <w:t xml:space="preserve"> </w:t>
            </w:r>
            <w:r w:rsidR="00C52996" w:rsidRPr="00F554EF">
              <w:t>immediately.</w:t>
            </w:r>
            <w:r w:rsidR="00BA15E6" w:rsidRPr="00F554EF">
              <w:t xml:space="preserve"> </w:t>
            </w:r>
          </w:p>
          <w:p w14:paraId="39E894C9" w14:textId="647F401C" w:rsidR="0040207C" w:rsidRPr="00F554EF" w:rsidRDefault="0040207C" w:rsidP="004C428B">
            <w:pPr>
              <w:spacing w:before="120" w:after="120"/>
            </w:pPr>
            <w:r w:rsidRPr="00F554EF">
              <w:rPr>
                <w:b/>
              </w:rPr>
              <w:t xml:space="preserve">2. </w:t>
            </w:r>
            <w:r w:rsidR="00C52996" w:rsidRPr="00F554EF">
              <w:t>DED, asap.</w:t>
            </w:r>
          </w:p>
          <w:p w14:paraId="65EC4C6A" w14:textId="77777777" w:rsidR="007F1A91" w:rsidRPr="00F554EF" w:rsidRDefault="007F1A91" w:rsidP="004C428B">
            <w:pPr>
              <w:spacing w:before="120" w:after="120"/>
            </w:pPr>
          </w:p>
        </w:tc>
      </w:tr>
      <w:tr w:rsidR="00F7023A" w:rsidRPr="00F554EF" w14:paraId="06380AB9" w14:textId="77777777" w:rsidTr="00923708">
        <w:trPr>
          <w:trHeight w:val="1529"/>
        </w:trPr>
        <w:tc>
          <w:tcPr>
            <w:tcW w:w="621" w:type="dxa"/>
          </w:tcPr>
          <w:p w14:paraId="6A96F7A7" w14:textId="77777777" w:rsidR="002B4BFC" w:rsidRPr="00F554EF" w:rsidRDefault="008E5CAF" w:rsidP="00F624DD">
            <w:pPr>
              <w:spacing w:before="120" w:after="120"/>
              <w:rPr>
                <w:b/>
              </w:rPr>
            </w:pPr>
            <w:r w:rsidRPr="00F554EF">
              <w:rPr>
                <w:b/>
              </w:rPr>
              <w:t>2</w:t>
            </w:r>
          </w:p>
        </w:tc>
        <w:tc>
          <w:tcPr>
            <w:tcW w:w="2073" w:type="dxa"/>
          </w:tcPr>
          <w:p w14:paraId="3CA7ADA4" w14:textId="38730DD4" w:rsidR="008E4B46" w:rsidRPr="00F554EF" w:rsidRDefault="00A52363" w:rsidP="00F624D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Cost Recovery </w:t>
            </w:r>
          </w:p>
        </w:tc>
        <w:tc>
          <w:tcPr>
            <w:tcW w:w="5528" w:type="dxa"/>
          </w:tcPr>
          <w:p w14:paraId="3BF2FF54" w14:textId="15611392" w:rsidR="007777AF" w:rsidRPr="00F554EF" w:rsidRDefault="007777AF" w:rsidP="00F624DD">
            <w:pPr>
              <w:spacing w:before="120" w:after="120"/>
              <w:rPr>
                <w:rFonts w:ascii="Calibri" w:hAnsi="Calibri" w:cs="Calibri"/>
              </w:rPr>
            </w:pPr>
            <w:r w:rsidRPr="00F554EF">
              <w:rPr>
                <w:b/>
              </w:rPr>
              <w:t>1.</w:t>
            </w:r>
            <w:r w:rsidRPr="00F554EF">
              <w:t xml:space="preserve"> Currently, </w:t>
            </w:r>
            <w:r w:rsidR="008E3F07" w:rsidRPr="00F554EF">
              <w:t>several</w:t>
            </w:r>
            <w:r w:rsidRPr="00F554EF">
              <w:t xml:space="preserve"> </w:t>
            </w:r>
            <w:r w:rsidR="008E3F07" w:rsidRPr="00F554EF">
              <w:t>expenses</w:t>
            </w:r>
            <w:r w:rsidRPr="00F554EF">
              <w:t xml:space="preserve"> </w:t>
            </w:r>
            <w:r w:rsidR="008E3F07" w:rsidRPr="00F554EF">
              <w:t>are</w:t>
            </w:r>
            <w:r w:rsidRPr="00F554EF">
              <w:t xml:space="preserve"> being charged to overhead. They need to be covered by co</w:t>
            </w:r>
            <w:r w:rsidR="008E3F07" w:rsidRPr="00F554EF">
              <w:t>s</w:t>
            </w:r>
            <w:r w:rsidRPr="00F554EF">
              <w:t xml:space="preserve">t </w:t>
            </w:r>
            <w:r w:rsidR="008E3F07" w:rsidRPr="00F554EF">
              <w:t>recovery and</w:t>
            </w:r>
            <w:r w:rsidRPr="00F554EF">
              <w:t xml:space="preserve"> cannot be borne by overhead. There is a need for systematic and consistent application of cost recovery in a transparent and auditable way. SMB members reviewed the proposal, which suggested what overhead costs could cover. An indicative figure of cost recovery is </w:t>
            </w:r>
            <w:r w:rsidR="008E3F07" w:rsidRPr="00F554EF">
              <w:t>USD 4million</w:t>
            </w:r>
            <w:r w:rsidRPr="00F554EF">
              <w:t xml:space="preserve">, if all of it was adopted. Larger projects may have to be considered differently, because there is a limit to what can be cost recovered.  </w:t>
            </w:r>
          </w:p>
          <w:p w14:paraId="3A072921" w14:textId="6AB9E7B5" w:rsidR="00F27ECE" w:rsidRPr="00F554EF" w:rsidRDefault="007777AF" w:rsidP="00F624DD">
            <w:pPr>
              <w:spacing w:before="120" w:after="120"/>
            </w:pPr>
            <w:r w:rsidRPr="00F554EF">
              <w:rPr>
                <w:b/>
              </w:rPr>
              <w:t>2.</w:t>
            </w:r>
            <w:r w:rsidRPr="00F554EF">
              <w:t xml:space="preserve"> There was general agreement that cost recovery was an important income stream, and that a practical, immediate solution was needed. At the same time, regional offices felt that representational and other tasks not related to a project also needed to be included in the calculation. Raf</w:t>
            </w:r>
            <w:r w:rsidR="008E3F07" w:rsidRPr="00F554EF">
              <w:t xml:space="preserve"> </w:t>
            </w:r>
            <w:r w:rsidRPr="00F554EF">
              <w:t xml:space="preserve">stressed that whatever is proposed should be practical and realistic, especially implementation. Enforcement is critical. Zena suggested the development of a universal price that could be developed and published, to share with donors. Andre noted an urgency to this, because some </w:t>
            </w:r>
            <w:r w:rsidRPr="00F554EF">
              <w:lastRenderedPageBreak/>
              <w:t>projects are closing in June. </w:t>
            </w:r>
            <w:r w:rsidR="008E3F07" w:rsidRPr="00F554EF">
              <w:t>Is</w:t>
            </w:r>
            <w:r w:rsidRPr="00F554EF">
              <w:t xml:space="preserve"> there a pragmatic way of moving forward? </w:t>
            </w:r>
          </w:p>
        </w:tc>
        <w:tc>
          <w:tcPr>
            <w:tcW w:w="3969" w:type="dxa"/>
          </w:tcPr>
          <w:p w14:paraId="6B0A047B" w14:textId="641740FE" w:rsidR="00EF1E99" w:rsidRPr="00F554EF" w:rsidRDefault="009642EF" w:rsidP="00A52363">
            <w:pPr>
              <w:spacing w:before="120" w:after="120"/>
            </w:pPr>
            <w:r w:rsidRPr="00F554EF">
              <w:rPr>
                <w:b/>
              </w:rPr>
              <w:lastRenderedPageBreak/>
              <w:t>1</w:t>
            </w:r>
            <w:r w:rsidR="004C428B">
              <w:rPr>
                <w:b/>
              </w:rPr>
              <w:t>-2</w:t>
            </w:r>
            <w:r w:rsidRPr="00F554EF">
              <w:rPr>
                <w:b/>
              </w:rPr>
              <w:t>.</w:t>
            </w:r>
            <w:r w:rsidRPr="00F554EF">
              <w:t xml:space="preserve"> </w:t>
            </w:r>
            <w:r w:rsidR="00A52363">
              <w:t xml:space="preserve">Finance and Budget unit to </w:t>
            </w:r>
            <w:r w:rsidR="007777AF" w:rsidRPr="00F554EF">
              <w:t xml:space="preserve">meet with each cost centre and complete a template for cost recovery. One last meeting to take place after that, finishing discussions with the core group on cost recovery. Implementation to follow, subject </w:t>
            </w:r>
            <w:r w:rsidR="00F554EF" w:rsidRPr="00F554EF">
              <w:t>to guidance</w:t>
            </w:r>
            <w:r w:rsidR="00A52363">
              <w:t>.</w:t>
            </w:r>
            <w:r w:rsidR="00F554EF" w:rsidRPr="00F554EF">
              <w:t xml:space="preserve"> </w:t>
            </w:r>
          </w:p>
        </w:tc>
        <w:tc>
          <w:tcPr>
            <w:tcW w:w="2694" w:type="dxa"/>
          </w:tcPr>
          <w:p w14:paraId="6C800476" w14:textId="67F9A2C1" w:rsidR="000F0E82" w:rsidRPr="00F554EF" w:rsidRDefault="00DB5F33" w:rsidP="00F624DD">
            <w:pPr>
              <w:tabs>
                <w:tab w:val="center" w:pos="1242"/>
              </w:tabs>
              <w:spacing w:before="120" w:after="120"/>
            </w:pPr>
            <w:r w:rsidRPr="00F554EF">
              <w:rPr>
                <w:b/>
              </w:rPr>
              <w:t>1.</w:t>
            </w:r>
            <w:r w:rsidR="00B253BA" w:rsidRPr="00F554EF">
              <w:t xml:space="preserve"> </w:t>
            </w:r>
            <w:r w:rsidR="00F554EF" w:rsidRPr="00F554EF">
              <w:t xml:space="preserve"> 10 July 2018</w:t>
            </w:r>
          </w:p>
        </w:tc>
      </w:tr>
      <w:tr w:rsidR="00F7023A" w:rsidRPr="00F554EF" w14:paraId="4DB68E45" w14:textId="77777777" w:rsidTr="00F7023A">
        <w:tc>
          <w:tcPr>
            <w:tcW w:w="621" w:type="dxa"/>
          </w:tcPr>
          <w:p w14:paraId="2F000565" w14:textId="77777777" w:rsidR="002B4BFC" w:rsidRPr="00F554EF" w:rsidRDefault="00B657C0" w:rsidP="00F624DD">
            <w:pPr>
              <w:spacing w:before="120" w:after="120"/>
              <w:rPr>
                <w:b/>
              </w:rPr>
            </w:pPr>
            <w:r w:rsidRPr="00F554EF">
              <w:rPr>
                <w:b/>
              </w:rPr>
              <w:t>3</w:t>
            </w:r>
          </w:p>
        </w:tc>
        <w:tc>
          <w:tcPr>
            <w:tcW w:w="2073" w:type="dxa"/>
          </w:tcPr>
          <w:p w14:paraId="2EDBB149" w14:textId="16EB7554" w:rsidR="002B4BFC" w:rsidRPr="00F554EF" w:rsidRDefault="00A52363" w:rsidP="00F624D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Resource mobilisation strategy </w:t>
            </w:r>
          </w:p>
        </w:tc>
        <w:tc>
          <w:tcPr>
            <w:tcW w:w="5528" w:type="dxa"/>
          </w:tcPr>
          <w:p w14:paraId="439BA89F" w14:textId="78E1F578" w:rsidR="003559ED" w:rsidRPr="00F554EF" w:rsidRDefault="004C428B" w:rsidP="00F624DD">
            <w:pPr>
              <w:spacing w:before="120" w:after="120"/>
            </w:pPr>
            <w:r w:rsidRPr="004C428B">
              <w:rPr>
                <w:b/>
              </w:rPr>
              <w:t>1.</w:t>
            </w:r>
            <w:r>
              <w:t xml:space="preserve"> </w:t>
            </w:r>
            <w:r w:rsidR="007777AF" w:rsidRPr="00F554EF">
              <w:t>Jane presented a draft donor strategy</w:t>
            </w:r>
            <w:r>
              <w:t xml:space="preserve"> for</w:t>
            </w:r>
            <w:r w:rsidR="007777AF" w:rsidRPr="00F554EF">
              <w:t xml:space="preserve"> 2018-19, which had been discussed with SMB members previously and updated </w:t>
            </w:r>
            <w:r w:rsidRPr="00F554EF">
              <w:t>considering</w:t>
            </w:r>
            <w:r w:rsidR="007777AF" w:rsidRPr="00F554EF">
              <w:t xml:space="preserve"> their comments, areas for improvement suggested by donors, recommendations by OIOS, and feedback from UN-Habitat managers. The goals of the strategy included increasing funding, including softer earmarking; broadening the UN-Habitat donor base; and improving relations with donors. Jane </w:t>
            </w:r>
            <w:r>
              <w:t>s</w:t>
            </w:r>
            <w:r w:rsidR="007777AF" w:rsidRPr="00F554EF">
              <w:t>uggested developing a focal point system at the branch level, for resource mobilization. Eduardo felt that that different partners require different strategies (foundations, private sector, government, etc</w:t>
            </w:r>
            <w:r>
              <w:t>.</w:t>
            </w:r>
            <w:r w:rsidR="007777AF" w:rsidRPr="00F554EF">
              <w:t xml:space="preserve">). Targets should be considered for each sector of resource mobilization, so that it can be properly monitored. Andre noted that multi-donor funds (SDG funds) and SG’s funding compact may be potential sources. </w:t>
            </w:r>
            <w:r w:rsidR="007777AF" w:rsidRPr="00F624DD">
              <w:rPr>
                <w:b/>
              </w:rPr>
              <w:t>The SMB endorsed the strategy, which would be implemented regionally and reviewed.</w:t>
            </w:r>
            <w:r w:rsidR="007777AF" w:rsidRPr="00F554EF">
              <w:t xml:space="preserve">  </w:t>
            </w:r>
          </w:p>
        </w:tc>
        <w:tc>
          <w:tcPr>
            <w:tcW w:w="3969" w:type="dxa"/>
          </w:tcPr>
          <w:p w14:paraId="5FDB11EC" w14:textId="77777777" w:rsidR="007777AF" w:rsidRPr="00F554EF" w:rsidRDefault="002B4BFC" w:rsidP="00F624DD">
            <w:pPr>
              <w:spacing w:before="120" w:after="120"/>
            </w:pPr>
            <w:r w:rsidRPr="00F554EF">
              <w:rPr>
                <w:b/>
              </w:rPr>
              <w:t>1</w:t>
            </w:r>
            <w:r w:rsidR="007015E7" w:rsidRPr="00F554EF">
              <w:rPr>
                <w:b/>
              </w:rPr>
              <w:t>.</w:t>
            </w:r>
            <w:r w:rsidR="007015E7" w:rsidRPr="00F554EF">
              <w:t xml:space="preserve"> </w:t>
            </w:r>
            <w:r w:rsidR="007777AF" w:rsidRPr="00F554EF">
              <w:t xml:space="preserve">Draft focal point system proposal to be developed and shared by Jane; the goal is to improve coordination.  </w:t>
            </w:r>
          </w:p>
          <w:p w14:paraId="78849721" w14:textId="1F1ABD40" w:rsidR="00BD74A4" w:rsidRPr="00F554EF" w:rsidRDefault="00BD74A4" w:rsidP="00F624DD">
            <w:pPr>
              <w:tabs>
                <w:tab w:val="left" w:pos="900"/>
              </w:tabs>
              <w:spacing w:before="120" w:after="120"/>
            </w:pPr>
          </w:p>
        </w:tc>
        <w:tc>
          <w:tcPr>
            <w:tcW w:w="2694" w:type="dxa"/>
          </w:tcPr>
          <w:p w14:paraId="11A6D895" w14:textId="70618904" w:rsidR="00E24BB6" w:rsidRPr="00F554EF" w:rsidRDefault="002B4BFC" w:rsidP="00F624DD">
            <w:pPr>
              <w:spacing w:before="120" w:after="120"/>
            </w:pPr>
            <w:r w:rsidRPr="00F554EF">
              <w:rPr>
                <w:b/>
              </w:rPr>
              <w:t>1</w:t>
            </w:r>
            <w:r w:rsidR="007015E7" w:rsidRPr="00F554EF">
              <w:rPr>
                <w:b/>
              </w:rPr>
              <w:t>.</w:t>
            </w:r>
            <w:r w:rsidR="007015E7" w:rsidRPr="00F554EF">
              <w:t xml:space="preserve"> </w:t>
            </w:r>
            <w:r w:rsidR="00F624DD">
              <w:t xml:space="preserve"> TBC</w:t>
            </w:r>
          </w:p>
          <w:p w14:paraId="5DA99499" w14:textId="46952F92" w:rsidR="00A92B67" w:rsidRPr="00F554EF" w:rsidRDefault="00A92B67" w:rsidP="00F624DD">
            <w:pPr>
              <w:spacing w:before="120" w:after="120"/>
            </w:pPr>
          </w:p>
        </w:tc>
      </w:tr>
      <w:tr w:rsidR="00067DE0" w:rsidRPr="00F554EF" w14:paraId="1A15A8CE" w14:textId="77777777" w:rsidTr="00F7023A">
        <w:tc>
          <w:tcPr>
            <w:tcW w:w="621" w:type="dxa"/>
          </w:tcPr>
          <w:p w14:paraId="5DD78366" w14:textId="63CAB7CE" w:rsidR="00067DE0" w:rsidRPr="00F554EF" w:rsidRDefault="007F479A" w:rsidP="00F624DD">
            <w:pPr>
              <w:spacing w:before="120" w:after="120"/>
              <w:rPr>
                <w:b/>
              </w:rPr>
            </w:pPr>
            <w:r w:rsidRPr="00F554EF">
              <w:rPr>
                <w:b/>
              </w:rPr>
              <w:t>4</w:t>
            </w:r>
          </w:p>
        </w:tc>
        <w:tc>
          <w:tcPr>
            <w:tcW w:w="2073" w:type="dxa"/>
          </w:tcPr>
          <w:p w14:paraId="7F2C4121" w14:textId="46812EF6" w:rsidR="00067DE0" w:rsidRPr="00F554EF" w:rsidRDefault="00067DE0" w:rsidP="00F624DD">
            <w:pPr>
              <w:spacing w:before="120" w:after="120"/>
              <w:rPr>
                <w:b/>
              </w:rPr>
            </w:pPr>
            <w:r w:rsidRPr="00F554EF">
              <w:rPr>
                <w:b/>
              </w:rPr>
              <w:t>AOB</w:t>
            </w:r>
          </w:p>
          <w:p w14:paraId="7F0919DD" w14:textId="77777777" w:rsidR="00F6077D" w:rsidRPr="00F554EF" w:rsidRDefault="00F6077D" w:rsidP="00F624DD">
            <w:pPr>
              <w:spacing w:before="120" w:after="120"/>
              <w:rPr>
                <w:b/>
              </w:rPr>
            </w:pPr>
          </w:p>
          <w:p w14:paraId="2FD8D41F" w14:textId="61E38825" w:rsidR="00067DE0" w:rsidRPr="00F554EF" w:rsidRDefault="00067DE0" w:rsidP="00F624DD">
            <w:pPr>
              <w:spacing w:before="120" w:after="120"/>
              <w:rPr>
                <w:b/>
              </w:rPr>
            </w:pPr>
          </w:p>
        </w:tc>
        <w:tc>
          <w:tcPr>
            <w:tcW w:w="5528" w:type="dxa"/>
          </w:tcPr>
          <w:p w14:paraId="0F4D8FF3" w14:textId="1142AE5F" w:rsidR="007777AF" w:rsidRPr="00F554EF" w:rsidRDefault="00067DE0" w:rsidP="00F624DD">
            <w:pPr>
              <w:spacing w:before="120" w:after="120"/>
            </w:pPr>
            <w:r w:rsidRPr="00F554EF">
              <w:rPr>
                <w:b/>
              </w:rPr>
              <w:t>1.</w:t>
            </w:r>
            <w:r w:rsidRPr="00F554EF">
              <w:t xml:space="preserve"> </w:t>
            </w:r>
            <w:r w:rsidR="007777AF" w:rsidRPr="00F554EF">
              <w:t>Unconscious bias training (10 July TBC)</w:t>
            </w:r>
            <w:r w:rsidR="00F624DD">
              <w:t>.</w:t>
            </w:r>
          </w:p>
          <w:p w14:paraId="2C4E6A9A" w14:textId="514CEDD9" w:rsidR="00067DE0" w:rsidRPr="00F554EF" w:rsidRDefault="00067DE0" w:rsidP="00F624DD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</w:tcPr>
          <w:p w14:paraId="575C5868" w14:textId="428E14E0" w:rsidR="00067DE0" w:rsidRPr="00F554EF" w:rsidRDefault="00F624DD" w:rsidP="00F624D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 </w:t>
            </w:r>
            <w:r w:rsidRPr="00F624DD">
              <w:t>E</w:t>
            </w:r>
            <w:r w:rsidRPr="00F554EF">
              <w:t>ach Division to nominate three managers, plus one from OED to attend</w:t>
            </w:r>
          </w:p>
        </w:tc>
        <w:tc>
          <w:tcPr>
            <w:tcW w:w="2694" w:type="dxa"/>
          </w:tcPr>
          <w:p w14:paraId="0CB86C0B" w14:textId="120E37D9" w:rsidR="00067DE0" w:rsidRPr="00F554EF" w:rsidRDefault="00F624DD" w:rsidP="00F624D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 </w:t>
            </w:r>
            <w:r w:rsidRPr="00F624DD">
              <w:t xml:space="preserve">ERD, MOD, PD &amp; OED, </w:t>
            </w:r>
            <w:r>
              <w:t>6 July 2018.</w:t>
            </w:r>
          </w:p>
        </w:tc>
      </w:tr>
    </w:tbl>
    <w:p w14:paraId="4305879E" w14:textId="77777777" w:rsidR="00BD792A" w:rsidRPr="00F554EF" w:rsidRDefault="00BD792A" w:rsidP="004B317E">
      <w:pPr>
        <w:spacing w:after="0" w:line="240" w:lineRule="auto"/>
        <w:rPr>
          <w:b/>
        </w:rPr>
      </w:pPr>
    </w:p>
    <w:p w14:paraId="46309FB9" w14:textId="77777777" w:rsidR="00F57941" w:rsidRPr="00F554EF" w:rsidRDefault="00F57941" w:rsidP="004B317E">
      <w:pPr>
        <w:spacing w:after="0" w:line="240" w:lineRule="auto"/>
        <w:rPr>
          <w:b/>
        </w:rPr>
      </w:pPr>
    </w:p>
    <w:sectPr w:rsidR="00F57941" w:rsidRPr="00F554EF" w:rsidSect="004B3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FC7C" w14:textId="77777777" w:rsidR="00540AC5" w:rsidRDefault="00540AC5" w:rsidP="00CC76CF">
      <w:pPr>
        <w:spacing w:after="0" w:line="240" w:lineRule="auto"/>
      </w:pPr>
      <w:r>
        <w:separator/>
      </w:r>
    </w:p>
  </w:endnote>
  <w:endnote w:type="continuationSeparator" w:id="0">
    <w:p w14:paraId="1E8D8824" w14:textId="77777777" w:rsidR="00540AC5" w:rsidRDefault="00540AC5" w:rsidP="00CC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754D" w14:textId="77777777" w:rsidR="006D7125" w:rsidRDefault="006D7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4767" w14:textId="77777777" w:rsidR="006D7125" w:rsidRDefault="006D7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B038" w14:textId="77777777" w:rsidR="006D7125" w:rsidRDefault="006D7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2AA3" w14:textId="77777777" w:rsidR="00540AC5" w:rsidRDefault="00540AC5" w:rsidP="00CC76CF">
      <w:pPr>
        <w:spacing w:after="0" w:line="240" w:lineRule="auto"/>
      </w:pPr>
      <w:r>
        <w:separator/>
      </w:r>
    </w:p>
  </w:footnote>
  <w:footnote w:type="continuationSeparator" w:id="0">
    <w:p w14:paraId="276941DD" w14:textId="77777777" w:rsidR="00540AC5" w:rsidRDefault="00540AC5" w:rsidP="00CC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9C73" w14:textId="77777777" w:rsidR="006D7125" w:rsidRDefault="00540AC5">
    <w:pPr>
      <w:pStyle w:val="Header"/>
    </w:pPr>
    <w:r>
      <w:rPr>
        <w:noProof/>
      </w:rPr>
      <w:pict w14:anchorId="53F73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79719" o:spid="_x0000_s2050" type="#_x0000_t136" style="position:absolute;margin-left:0;margin-top:0;width:626.95pt;height:13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08EE" w14:textId="6F480423" w:rsidR="00CB1D94" w:rsidRDefault="00540AC5" w:rsidP="00CC76CF">
    <w:pPr>
      <w:pStyle w:val="Header"/>
      <w:jc w:val="right"/>
    </w:pPr>
    <w:r>
      <w:rPr>
        <w:noProof/>
      </w:rPr>
      <w:pict w14:anchorId="4E8547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79720" o:spid="_x0000_s2051" type="#_x0000_t136" style="position:absolute;left:0;text-align:left;margin-left:0;margin-top:0;width:626.95pt;height:13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 CONFIDENTIAL"/>
          <w10:wrap anchorx="margin" anchory="margin"/>
        </v:shape>
      </w:pict>
    </w:r>
    <w:sdt>
      <w:sdtPr>
        <w:id w:val="-10728980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B1D94">
          <w:fldChar w:fldCharType="begin"/>
        </w:r>
        <w:r w:rsidR="00CB1D94">
          <w:instrText xml:space="preserve"> PAGE   \* MERGEFORMAT </w:instrText>
        </w:r>
        <w:r w:rsidR="00CB1D94">
          <w:fldChar w:fldCharType="separate"/>
        </w:r>
        <w:r w:rsidR="00C76290">
          <w:rPr>
            <w:noProof/>
          </w:rPr>
          <w:t>1</w:t>
        </w:r>
        <w:r w:rsidR="00CB1D94">
          <w:rPr>
            <w:noProof/>
          </w:rPr>
          <w:fldChar w:fldCharType="end"/>
        </w:r>
      </w:sdtContent>
    </w:sdt>
  </w:p>
  <w:p w14:paraId="71376FBE" w14:textId="77777777" w:rsidR="00CB1D94" w:rsidRDefault="00CB1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0327" w14:textId="77777777" w:rsidR="006D7125" w:rsidRDefault="00540AC5">
    <w:pPr>
      <w:pStyle w:val="Header"/>
    </w:pPr>
    <w:r>
      <w:rPr>
        <w:noProof/>
      </w:rPr>
      <w:pict w14:anchorId="6A135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79718" o:spid="_x0000_s2049" type="#_x0000_t136" style="position:absolute;margin-left:0;margin-top:0;width:626.95pt;height:13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E4E"/>
    <w:multiLevelType w:val="hybridMultilevel"/>
    <w:tmpl w:val="46CC7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A0F"/>
    <w:multiLevelType w:val="hybridMultilevel"/>
    <w:tmpl w:val="FB6AC630"/>
    <w:lvl w:ilvl="0" w:tplc="A510D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5E05"/>
    <w:multiLevelType w:val="hybridMultilevel"/>
    <w:tmpl w:val="EFF648D0"/>
    <w:lvl w:ilvl="0" w:tplc="E60AB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C6D"/>
    <w:multiLevelType w:val="hybridMultilevel"/>
    <w:tmpl w:val="AEE0764E"/>
    <w:lvl w:ilvl="0" w:tplc="352400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A0"/>
    <w:multiLevelType w:val="hybridMultilevel"/>
    <w:tmpl w:val="B06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35A6"/>
    <w:multiLevelType w:val="hybridMultilevel"/>
    <w:tmpl w:val="9DBC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6D0"/>
    <w:multiLevelType w:val="hybridMultilevel"/>
    <w:tmpl w:val="49048010"/>
    <w:lvl w:ilvl="0" w:tplc="CE7CF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44BB"/>
    <w:multiLevelType w:val="hybridMultilevel"/>
    <w:tmpl w:val="74F8BBF2"/>
    <w:lvl w:ilvl="0" w:tplc="D2102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344F"/>
    <w:multiLevelType w:val="hybridMultilevel"/>
    <w:tmpl w:val="833E8436"/>
    <w:lvl w:ilvl="0" w:tplc="3F727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7B84"/>
    <w:multiLevelType w:val="hybridMultilevel"/>
    <w:tmpl w:val="389E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2BF2"/>
    <w:multiLevelType w:val="hybridMultilevel"/>
    <w:tmpl w:val="5D6EC016"/>
    <w:lvl w:ilvl="0" w:tplc="01F0C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E6322"/>
    <w:multiLevelType w:val="hybridMultilevel"/>
    <w:tmpl w:val="CDC0E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A"/>
    <w:rsid w:val="00001AB2"/>
    <w:rsid w:val="00014846"/>
    <w:rsid w:val="00016BB5"/>
    <w:rsid w:val="00022325"/>
    <w:rsid w:val="00033BB3"/>
    <w:rsid w:val="00043E6D"/>
    <w:rsid w:val="0005349A"/>
    <w:rsid w:val="00067DE0"/>
    <w:rsid w:val="00074F18"/>
    <w:rsid w:val="000821A3"/>
    <w:rsid w:val="00094560"/>
    <w:rsid w:val="000B0AF3"/>
    <w:rsid w:val="000D6BBA"/>
    <w:rsid w:val="000E0A22"/>
    <w:rsid w:val="000E2141"/>
    <w:rsid w:val="000E282C"/>
    <w:rsid w:val="000E570E"/>
    <w:rsid w:val="000E5C51"/>
    <w:rsid w:val="000E7F68"/>
    <w:rsid w:val="000F0E82"/>
    <w:rsid w:val="000F6126"/>
    <w:rsid w:val="0010247D"/>
    <w:rsid w:val="00105B09"/>
    <w:rsid w:val="00107932"/>
    <w:rsid w:val="00126489"/>
    <w:rsid w:val="001315CB"/>
    <w:rsid w:val="0013205E"/>
    <w:rsid w:val="00135F2A"/>
    <w:rsid w:val="001367D4"/>
    <w:rsid w:val="00140A9D"/>
    <w:rsid w:val="001500C0"/>
    <w:rsid w:val="0015170A"/>
    <w:rsid w:val="00151796"/>
    <w:rsid w:val="00160F7E"/>
    <w:rsid w:val="00161C0F"/>
    <w:rsid w:val="00162A50"/>
    <w:rsid w:val="00166710"/>
    <w:rsid w:val="00172BEC"/>
    <w:rsid w:val="00190A29"/>
    <w:rsid w:val="0019168A"/>
    <w:rsid w:val="001B18AD"/>
    <w:rsid w:val="001B5EBC"/>
    <w:rsid w:val="001B63EF"/>
    <w:rsid w:val="001C3A56"/>
    <w:rsid w:val="001E67DB"/>
    <w:rsid w:val="001F1529"/>
    <w:rsid w:val="001F6109"/>
    <w:rsid w:val="00202C5F"/>
    <w:rsid w:val="00215BBC"/>
    <w:rsid w:val="00220675"/>
    <w:rsid w:val="0022214A"/>
    <w:rsid w:val="0022642B"/>
    <w:rsid w:val="002274BB"/>
    <w:rsid w:val="0023277E"/>
    <w:rsid w:val="002345BC"/>
    <w:rsid w:val="00244345"/>
    <w:rsid w:val="0024497B"/>
    <w:rsid w:val="002565B2"/>
    <w:rsid w:val="00262CE9"/>
    <w:rsid w:val="00274BC5"/>
    <w:rsid w:val="00280E53"/>
    <w:rsid w:val="0029237D"/>
    <w:rsid w:val="00293715"/>
    <w:rsid w:val="00293BF8"/>
    <w:rsid w:val="002B46E6"/>
    <w:rsid w:val="002B4BFC"/>
    <w:rsid w:val="002B67C7"/>
    <w:rsid w:val="002D1B61"/>
    <w:rsid w:val="002E1F67"/>
    <w:rsid w:val="002E5BB9"/>
    <w:rsid w:val="002E72B7"/>
    <w:rsid w:val="002F3605"/>
    <w:rsid w:val="002F6782"/>
    <w:rsid w:val="00302FBC"/>
    <w:rsid w:val="00307DE9"/>
    <w:rsid w:val="003237A2"/>
    <w:rsid w:val="0033333E"/>
    <w:rsid w:val="00340513"/>
    <w:rsid w:val="003559ED"/>
    <w:rsid w:val="003644C3"/>
    <w:rsid w:val="00370F07"/>
    <w:rsid w:val="003762A8"/>
    <w:rsid w:val="003764C7"/>
    <w:rsid w:val="00387624"/>
    <w:rsid w:val="0038783E"/>
    <w:rsid w:val="00387B14"/>
    <w:rsid w:val="00393935"/>
    <w:rsid w:val="00396468"/>
    <w:rsid w:val="003A38F4"/>
    <w:rsid w:val="003C2BAF"/>
    <w:rsid w:val="003C701C"/>
    <w:rsid w:val="003E37ED"/>
    <w:rsid w:val="003E4C76"/>
    <w:rsid w:val="0040207C"/>
    <w:rsid w:val="00402CB1"/>
    <w:rsid w:val="00406B96"/>
    <w:rsid w:val="00415254"/>
    <w:rsid w:val="0041723E"/>
    <w:rsid w:val="00422D1C"/>
    <w:rsid w:val="00436CE8"/>
    <w:rsid w:val="00440DB8"/>
    <w:rsid w:val="00443919"/>
    <w:rsid w:val="0044403D"/>
    <w:rsid w:val="00461770"/>
    <w:rsid w:val="004631B8"/>
    <w:rsid w:val="00467A64"/>
    <w:rsid w:val="00471074"/>
    <w:rsid w:val="00475543"/>
    <w:rsid w:val="004A3AA0"/>
    <w:rsid w:val="004A3DE8"/>
    <w:rsid w:val="004B2510"/>
    <w:rsid w:val="004B2D6D"/>
    <w:rsid w:val="004B317E"/>
    <w:rsid w:val="004C08AE"/>
    <w:rsid w:val="004C3605"/>
    <w:rsid w:val="004C428B"/>
    <w:rsid w:val="004C65D9"/>
    <w:rsid w:val="004D0E40"/>
    <w:rsid w:val="004E0531"/>
    <w:rsid w:val="004F13FA"/>
    <w:rsid w:val="004F2D1A"/>
    <w:rsid w:val="004F535E"/>
    <w:rsid w:val="005035EE"/>
    <w:rsid w:val="00513757"/>
    <w:rsid w:val="00521669"/>
    <w:rsid w:val="00533052"/>
    <w:rsid w:val="00533076"/>
    <w:rsid w:val="0054027E"/>
    <w:rsid w:val="00540AC5"/>
    <w:rsid w:val="00541CB2"/>
    <w:rsid w:val="0054288E"/>
    <w:rsid w:val="00543D33"/>
    <w:rsid w:val="00543EE3"/>
    <w:rsid w:val="00545E8C"/>
    <w:rsid w:val="0055313F"/>
    <w:rsid w:val="005570D6"/>
    <w:rsid w:val="00573972"/>
    <w:rsid w:val="00580DEC"/>
    <w:rsid w:val="00587124"/>
    <w:rsid w:val="0059245D"/>
    <w:rsid w:val="005A730C"/>
    <w:rsid w:val="005B3565"/>
    <w:rsid w:val="005B3D90"/>
    <w:rsid w:val="005B49B1"/>
    <w:rsid w:val="005B51F8"/>
    <w:rsid w:val="005B5383"/>
    <w:rsid w:val="005B652A"/>
    <w:rsid w:val="005B6ED4"/>
    <w:rsid w:val="005D2238"/>
    <w:rsid w:val="005E2A5E"/>
    <w:rsid w:val="00603EF3"/>
    <w:rsid w:val="00606038"/>
    <w:rsid w:val="006073A6"/>
    <w:rsid w:val="00615998"/>
    <w:rsid w:val="00647113"/>
    <w:rsid w:val="00647932"/>
    <w:rsid w:val="006552F3"/>
    <w:rsid w:val="00663DD0"/>
    <w:rsid w:val="006645BA"/>
    <w:rsid w:val="00665813"/>
    <w:rsid w:val="006902C4"/>
    <w:rsid w:val="006927D4"/>
    <w:rsid w:val="00696B40"/>
    <w:rsid w:val="006A7831"/>
    <w:rsid w:val="006C33EA"/>
    <w:rsid w:val="006D60BC"/>
    <w:rsid w:val="006D7125"/>
    <w:rsid w:val="006E59E1"/>
    <w:rsid w:val="006E746A"/>
    <w:rsid w:val="006F4823"/>
    <w:rsid w:val="007001C7"/>
    <w:rsid w:val="007015E7"/>
    <w:rsid w:val="007270B8"/>
    <w:rsid w:val="00732101"/>
    <w:rsid w:val="00736CA5"/>
    <w:rsid w:val="00743BB7"/>
    <w:rsid w:val="00746E63"/>
    <w:rsid w:val="00747C2B"/>
    <w:rsid w:val="007740BC"/>
    <w:rsid w:val="007777AF"/>
    <w:rsid w:val="007A4A48"/>
    <w:rsid w:val="007B151A"/>
    <w:rsid w:val="007C05D8"/>
    <w:rsid w:val="007E621F"/>
    <w:rsid w:val="007E7DA8"/>
    <w:rsid w:val="007F1A91"/>
    <w:rsid w:val="007F3036"/>
    <w:rsid w:val="007F479A"/>
    <w:rsid w:val="00800E44"/>
    <w:rsid w:val="00812175"/>
    <w:rsid w:val="0085234A"/>
    <w:rsid w:val="0085631C"/>
    <w:rsid w:val="00866B63"/>
    <w:rsid w:val="00895A74"/>
    <w:rsid w:val="00897DF4"/>
    <w:rsid w:val="008A6E4F"/>
    <w:rsid w:val="008C64A4"/>
    <w:rsid w:val="008E36F0"/>
    <w:rsid w:val="008E3F07"/>
    <w:rsid w:val="008E4788"/>
    <w:rsid w:val="008E4B46"/>
    <w:rsid w:val="008E5CAF"/>
    <w:rsid w:val="008F495F"/>
    <w:rsid w:val="008F5BBC"/>
    <w:rsid w:val="008F6B9F"/>
    <w:rsid w:val="009024FA"/>
    <w:rsid w:val="009053CA"/>
    <w:rsid w:val="00913659"/>
    <w:rsid w:val="00920C8A"/>
    <w:rsid w:val="00923708"/>
    <w:rsid w:val="00952960"/>
    <w:rsid w:val="009532CF"/>
    <w:rsid w:val="0095346D"/>
    <w:rsid w:val="00955230"/>
    <w:rsid w:val="009642EF"/>
    <w:rsid w:val="00971ACA"/>
    <w:rsid w:val="00973DB2"/>
    <w:rsid w:val="009851F5"/>
    <w:rsid w:val="00997DC5"/>
    <w:rsid w:val="009A77E9"/>
    <w:rsid w:val="009B1A57"/>
    <w:rsid w:val="009B56BF"/>
    <w:rsid w:val="009C0E23"/>
    <w:rsid w:val="009D138C"/>
    <w:rsid w:val="009E0BEC"/>
    <w:rsid w:val="009E0D1B"/>
    <w:rsid w:val="009E5588"/>
    <w:rsid w:val="00A01A7D"/>
    <w:rsid w:val="00A07A71"/>
    <w:rsid w:val="00A24BAB"/>
    <w:rsid w:val="00A31C9D"/>
    <w:rsid w:val="00A34AD8"/>
    <w:rsid w:val="00A45178"/>
    <w:rsid w:val="00A52363"/>
    <w:rsid w:val="00A5397D"/>
    <w:rsid w:val="00A81499"/>
    <w:rsid w:val="00A830A6"/>
    <w:rsid w:val="00A92B67"/>
    <w:rsid w:val="00AA7E3B"/>
    <w:rsid w:val="00AB126D"/>
    <w:rsid w:val="00AB402C"/>
    <w:rsid w:val="00AB4B1F"/>
    <w:rsid w:val="00AB539F"/>
    <w:rsid w:val="00AF0934"/>
    <w:rsid w:val="00AF0FBA"/>
    <w:rsid w:val="00B03EC4"/>
    <w:rsid w:val="00B06DE4"/>
    <w:rsid w:val="00B20522"/>
    <w:rsid w:val="00B24BB5"/>
    <w:rsid w:val="00B253BA"/>
    <w:rsid w:val="00B46045"/>
    <w:rsid w:val="00B657C0"/>
    <w:rsid w:val="00B667C4"/>
    <w:rsid w:val="00B66DF0"/>
    <w:rsid w:val="00B7222C"/>
    <w:rsid w:val="00B722D2"/>
    <w:rsid w:val="00B73D79"/>
    <w:rsid w:val="00B93FE6"/>
    <w:rsid w:val="00BA15E6"/>
    <w:rsid w:val="00BA432A"/>
    <w:rsid w:val="00BA7823"/>
    <w:rsid w:val="00BA78BD"/>
    <w:rsid w:val="00BC12A2"/>
    <w:rsid w:val="00BC18AC"/>
    <w:rsid w:val="00BD61D0"/>
    <w:rsid w:val="00BD74A4"/>
    <w:rsid w:val="00BD792A"/>
    <w:rsid w:val="00BE18FF"/>
    <w:rsid w:val="00BE79A1"/>
    <w:rsid w:val="00C03793"/>
    <w:rsid w:val="00C0772A"/>
    <w:rsid w:val="00C20089"/>
    <w:rsid w:val="00C52996"/>
    <w:rsid w:val="00C577AF"/>
    <w:rsid w:val="00C745CD"/>
    <w:rsid w:val="00C76290"/>
    <w:rsid w:val="00C8374F"/>
    <w:rsid w:val="00CA33C9"/>
    <w:rsid w:val="00CB1D94"/>
    <w:rsid w:val="00CB38E6"/>
    <w:rsid w:val="00CC76CF"/>
    <w:rsid w:val="00CD472E"/>
    <w:rsid w:val="00CF0117"/>
    <w:rsid w:val="00D01476"/>
    <w:rsid w:val="00D0624E"/>
    <w:rsid w:val="00D14E55"/>
    <w:rsid w:val="00D41947"/>
    <w:rsid w:val="00D41F66"/>
    <w:rsid w:val="00D522E9"/>
    <w:rsid w:val="00D57DFA"/>
    <w:rsid w:val="00D6054B"/>
    <w:rsid w:val="00D63AC8"/>
    <w:rsid w:val="00D72CAD"/>
    <w:rsid w:val="00DA640B"/>
    <w:rsid w:val="00DB3642"/>
    <w:rsid w:val="00DB5F33"/>
    <w:rsid w:val="00DB6906"/>
    <w:rsid w:val="00DC4A6F"/>
    <w:rsid w:val="00DC5517"/>
    <w:rsid w:val="00DD46D7"/>
    <w:rsid w:val="00DE54F6"/>
    <w:rsid w:val="00DF1662"/>
    <w:rsid w:val="00DF17AF"/>
    <w:rsid w:val="00DF4824"/>
    <w:rsid w:val="00E20036"/>
    <w:rsid w:val="00E24BB6"/>
    <w:rsid w:val="00E32176"/>
    <w:rsid w:val="00E44BD8"/>
    <w:rsid w:val="00E53262"/>
    <w:rsid w:val="00E57C58"/>
    <w:rsid w:val="00E70FBD"/>
    <w:rsid w:val="00E743F6"/>
    <w:rsid w:val="00E74A91"/>
    <w:rsid w:val="00E76BF4"/>
    <w:rsid w:val="00E80331"/>
    <w:rsid w:val="00E93319"/>
    <w:rsid w:val="00E93D07"/>
    <w:rsid w:val="00EA0EB7"/>
    <w:rsid w:val="00EA26D1"/>
    <w:rsid w:val="00EA6F3E"/>
    <w:rsid w:val="00EA7DAE"/>
    <w:rsid w:val="00EF1E99"/>
    <w:rsid w:val="00EF3CC8"/>
    <w:rsid w:val="00EF490A"/>
    <w:rsid w:val="00EF6E72"/>
    <w:rsid w:val="00F05843"/>
    <w:rsid w:val="00F06D13"/>
    <w:rsid w:val="00F27B9B"/>
    <w:rsid w:val="00F27ECE"/>
    <w:rsid w:val="00F4697E"/>
    <w:rsid w:val="00F4769B"/>
    <w:rsid w:val="00F550C3"/>
    <w:rsid w:val="00F554EF"/>
    <w:rsid w:val="00F57941"/>
    <w:rsid w:val="00F6077D"/>
    <w:rsid w:val="00F624DD"/>
    <w:rsid w:val="00F643FC"/>
    <w:rsid w:val="00F7023A"/>
    <w:rsid w:val="00F81D2D"/>
    <w:rsid w:val="00F825CC"/>
    <w:rsid w:val="00F94CD7"/>
    <w:rsid w:val="00F960DD"/>
    <w:rsid w:val="00F96655"/>
    <w:rsid w:val="00FA16D3"/>
    <w:rsid w:val="00FA274E"/>
    <w:rsid w:val="00FB3458"/>
    <w:rsid w:val="00FB5803"/>
    <w:rsid w:val="00FD1EE8"/>
    <w:rsid w:val="00FD6075"/>
    <w:rsid w:val="00FD7547"/>
    <w:rsid w:val="00FE2D30"/>
    <w:rsid w:val="00FE41EA"/>
    <w:rsid w:val="00FE7B67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152A001"/>
  <w15:docId w15:val="{7B00C593-88BE-4BE2-B8B1-19C46D0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C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2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2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2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6345-ABC8-470B-8C56-EE15152C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Christiansen</dc:creator>
  <cp:keywords/>
  <dc:description/>
  <cp:lastModifiedBy>Joseph Gichuki</cp:lastModifiedBy>
  <cp:revision>2</cp:revision>
  <cp:lastPrinted>2018-05-17T10:17:00Z</cp:lastPrinted>
  <dcterms:created xsi:type="dcterms:W3CDTF">2019-01-22T09:14:00Z</dcterms:created>
  <dcterms:modified xsi:type="dcterms:W3CDTF">2019-01-22T09:14:00Z</dcterms:modified>
</cp:coreProperties>
</file>