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A479C" w14:textId="77777777" w:rsidR="001B63EF" w:rsidRPr="006D3060" w:rsidRDefault="00BD792A" w:rsidP="00BD792A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6D3060">
        <w:rPr>
          <w:b/>
          <w:sz w:val="24"/>
        </w:rPr>
        <w:t xml:space="preserve">UN-Habitat Senior Management </w:t>
      </w:r>
      <w:r w:rsidR="002B4BFC" w:rsidRPr="006D3060">
        <w:rPr>
          <w:b/>
          <w:sz w:val="24"/>
        </w:rPr>
        <w:t>Board</w:t>
      </w:r>
      <w:r w:rsidR="006E746A" w:rsidRPr="006D3060">
        <w:rPr>
          <w:b/>
          <w:sz w:val="24"/>
        </w:rPr>
        <w:t>: Notes</w:t>
      </w:r>
    </w:p>
    <w:p w14:paraId="255A01FE" w14:textId="77777777" w:rsidR="00302FBC" w:rsidRPr="006D3060" w:rsidRDefault="00BE1E98" w:rsidP="00BD792A">
      <w:pPr>
        <w:spacing w:after="0" w:line="240" w:lineRule="auto"/>
        <w:rPr>
          <w:b/>
          <w:sz w:val="24"/>
        </w:rPr>
      </w:pPr>
      <w:r w:rsidRPr="006D3060">
        <w:rPr>
          <w:b/>
          <w:sz w:val="24"/>
        </w:rPr>
        <w:t>26</w:t>
      </w:r>
      <w:r w:rsidR="00BA7823" w:rsidRPr="006D3060">
        <w:rPr>
          <w:b/>
          <w:sz w:val="24"/>
        </w:rPr>
        <w:t xml:space="preserve"> July 2018</w:t>
      </w:r>
    </w:p>
    <w:p w14:paraId="090B2A58" w14:textId="77777777" w:rsidR="00CC76CF" w:rsidRPr="006D3060" w:rsidRDefault="00CC76CF" w:rsidP="00BD792A">
      <w:pPr>
        <w:spacing w:after="0" w:line="240" w:lineRule="auto"/>
        <w:rPr>
          <w:b/>
          <w:sz w:val="24"/>
        </w:rPr>
      </w:pPr>
      <w:r w:rsidRPr="006D3060">
        <w:rPr>
          <w:b/>
          <w:sz w:val="24"/>
        </w:rPr>
        <w:t xml:space="preserve">Attendees: </w:t>
      </w:r>
      <w:r w:rsidR="00D32612" w:rsidRPr="00D32612">
        <w:rPr>
          <w:sz w:val="24"/>
        </w:rPr>
        <w:t>ED,</w:t>
      </w:r>
      <w:r w:rsidR="00D32612">
        <w:rPr>
          <w:b/>
          <w:sz w:val="24"/>
        </w:rPr>
        <w:t xml:space="preserve"> </w:t>
      </w:r>
      <w:r w:rsidR="00913659" w:rsidRPr="006D3060">
        <w:rPr>
          <w:sz w:val="24"/>
        </w:rPr>
        <w:t xml:space="preserve">DED, </w:t>
      </w:r>
      <w:r w:rsidR="00402CB1" w:rsidRPr="006D3060">
        <w:rPr>
          <w:sz w:val="24"/>
        </w:rPr>
        <w:t>Christine Musisi, Raf Tuts,</w:t>
      </w:r>
      <w:r w:rsidR="008F495F" w:rsidRPr="006D3060">
        <w:rPr>
          <w:sz w:val="24"/>
        </w:rPr>
        <w:t xml:space="preserve"> </w:t>
      </w:r>
      <w:r w:rsidR="0095346D" w:rsidRPr="006D3060">
        <w:rPr>
          <w:sz w:val="24"/>
        </w:rPr>
        <w:t>Chris Kirkcaldy</w:t>
      </w:r>
      <w:r w:rsidR="00DD5D60" w:rsidRPr="006D3060">
        <w:rPr>
          <w:sz w:val="24"/>
        </w:rPr>
        <w:t xml:space="preserve"> (</w:t>
      </w:r>
      <w:r w:rsidR="002E1304" w:rsidRPr="006D3060">
        <w:rPr>
          <w:sz w:val="24"/>
        </w:rPr>
        <w:t xml:space="preserve">item </w:t>
      </w:r>
      <w:r w:rsidR="00DD5D60" w:rsidRPr="006D3060">
        <w:rPr>
          <w:sz w:val="24"/>
        </w:rPr>
        <w:t># 4)</w:t>
      </w:r>
      <w:r w:rsidR="008F495F" w:rsidRPr="006D3060">
        <w:rPr>
          <w:sz w:val="24"/>
        </w:rPr>
        <w:t>,</w:t>
      </w:r>
      <w:r w:rsidR="00402CB1" w:rsidRPr="006D3060">
        <w:rPr>
          <w:sz w:val="24"/>
        </w:rPr>
        <w:t xml:space="preserve"> Kazumi Ogawa, </w:t>
      </w:r>
      <w:r w:rsidR="0095346D" w:rsidRPr="006D3060">
        <w:rPr>
          <w:sz w:val="24"/>
        </w:rPr>
        <w:t xml:space="preserve">Atsushi Koresawa, </w:t>
      </w:r>
      <w:r w:rsidR="005B652A" w:rsidRPr="006D3060">
        <w:rPr>
          <w:sz w:val="24"/>
        </w:rPr>
        <w:t xml:space="preserve">Andre Dzikus, </w:t>
      </w:r>
      <w:r w:rsidR="0095346D" w:rsidRPr="006D3060">
        <w:rPr>
          <w:sz w:val="24"/>
        </w:rPr>
        <w:t>Eduardo Moreno,</w:t>
      </w:r>
      <w:r w:rsidR="006E59E1" w:rsidRPr="006D3060">
        <w:rPr>
          <w:sz w:val="24"/>
        </w:rPr>
        <w:t xml:space="preserve"> </w:t>
      </w:r>
      <w:r w:rsidR="00BE1E98" w:rsidRPr="006D3060">
        <w:rPr>
          <w:sz w:val="24"/>
        </w:rPr>
        <w:t>Oumar Sylla</w:t>
      </w:r>
      <w:r w:rsidR="0095346D" w:rsidRPr="006D3060">
        <w:rPr>
          <w:sz w:val="24"/>
        </w:rPr>
        <w:t xml:space="preserve">, </w:t>
      </w:r>
      <w:r w:rsidR="008F495F" w:rsidRPr="006D3060">
        <w:rPr>
          <w:sz w:val="24"/>
        </w:rPr>
        <w:t xml:space="preserve">Paulius </w:t>
      </w:r>
      <w:r w:rsidR="007270B8" w:rsidRPr="006D3060">
        <w:rPr>
          <w:sz w:val="24"/>
        </w:rPr>
        <w:t>Kulikauskas</w:t>
      </w:r>
      <w:r w:rsidR="00BE1E98" w:rsidRPr="006D3060">
        <w:rPr>
          <w:b/>
          <w:sz w:val="24"/>
        </w:rPr>
        <w:t>,</w:t>
      </w:r>
      <w:r w:rsidR="00545E8C" w:rsidRPr="006D3060">
        <w:rPr>
          <w:sz w:val="24"/>
        </w:rPr>
        <w:t xml:space="preserve"> </w:t>
      </w:r>
      <w:r w:rsidR="0095346D" w:rsidRPr="006D3060">
        <w:rPr>
          <w:sz w:val="24"/>
        </w:rPr>
        <w:t>Naison Mutizwa-Mangiza</w:t>
      </w:r>
      <w:r w:rsidR="006E59E1" w:rsidRPr="006D3060">
        <w:rPr>
          <w:sz w:val="24"/>
        </w:rPr>
        <w:t xml:space="preserve">, </w:t>
      </w:r>
      <w:r w:rsidR="00140A9D" w:rsidRPr="006D3060">
        <w:rPr>
          <w:sz w:val="24"/>
        </w:rPr>
        <w:t>Elkin Velasquez</w:t>
      </w:r>
      <w:r w:rsidR="006E59E1" w:rsidRPr="006D3060">
        <w:rPr>
          <w:sz w:val="24"/>
        </w:rPr>
        <w:t>, Marco Kamiya, Kerstin Sommer</w:t>
      </w:r>
      <w:r w:rsidR="00BE1E98" w:rsidRPr="006D3060">
        <w:rPr>
          <w:sz w:val="24"/>
        </w:rPr>
        <w:t>, Pacome Kossy, Liliana Contreras</w:t>
      </w:r>
      <w:r w:rsidR="00AC6A53" w:rsidRPr="006D3060">
        <w:rPr>
          <w:sz w:val="24"/>
        </w:rPr>
        <w:t>, Chris Mensah</w:t>
      </w:r>
      <w:r w:rsidR="005B652A" w:rsidRPr="006D3060">
        <w:rPr>
          <w:sz w:val="24"/>
        </w:rPr>
        <w:t>.</w:t>
      </w:r>
      <w:r w:rsidR="00BE1E98" w:rsidRPr="006D3060">
        <w:rPr>
          <w:sz w:val="24"/>
        </w:rPr>
        <w:t xml:space="preserve"> </w:t>
      </w:r>
      <w:r w:rsidR="00BE1E98" w:rsidRPr="006D3060">
        <w:rPr>
          <w:b/>
          <w:sz w:val="24"/>
        </w:rPr>
        <w:t>Absent:</w:t>
      </w:r>
      <w:r w:rsidR="00DD5D60" w:rsidRPr="006D3060">
        <w:rPr>
          <w:color w:val="FF0000"/>
          <w:sz w:val="24"/>
        </w:rPr>
        <w:t xml:space="preserve"> </w:t>
      </w:r>
      <w:r w:rsidR="00DD5D60" w:rsidRPr="006D3060">
        <w:rPr>
          <w:color w:val="000000" w:themeColor="text1"/>
          <w:sz w:val="24"/>
        </w:rPr>
        <w:t>Saidou N’Dow, Jane Nyakairu</w:t>
      </w:r>
      <w:r w:rsidR="002E1304" w:rsidRPr="006D3060">
        <w:rPr>
          <w:color w:val="000000" w:themeColor="text1"/>
          <w:sz w:val="24"/>
        </w:rPr>
        <w:t>,</w:t>
      </w:r>
      <w:r w:rsidR="00DD5D60" w:rsidRPr="006D3060">
        <w:rPr>
          <w:color w:val="000000" w:themeColor="text1"/>
          <w:sz w:val="24"/>
        </w:rPr>
        <w:t xml:space="preserve"> Zena Ali Ahmad, Shipra Narang Suri</w:t>
      </w:r>
    </w:p>
    <w:p w14:paraId="0C6426DF" w14:textId="77777777" w:rsidR="00302FBC" w:rsidRPr="006D3060" w:rsidRDefault="00302FBC" w:rsidP="00BD792A">
      <w:pPr>
        <w:spacing w:after="0" w:line="240" w:lineRule="auto"/>
        <w:rPr>
          <w:sz w:val="24"/>
        </w:rPr>
      </w:pPr>
    </w:p>
    <w:tbl>
      <w:tblPr>
        <w:tblStyle w:val="TableGrid"/>
        <w:tblW w:w="14885" w:type="dxa"/>
        <w:tblInd w:w="-176" w:type="dxa"/>
        <w:tblLook w:val="04A0" w:firstRow="1" w:lastRow="0" w:firstColumn="1" w:lastColumn="0" w:noHBand="0" w:noVBand="1"/>
      </w:tblPr>
      <w:tblGrid>
        <w:gridCol w:w="621"/>
        <w:gridCol w:w="2073"/>
        <w:gridCol w:w="5528"/>
        <w:gridCol w:w="3969"/>
        <w:gridCol w:w="2694"/>
      </w:tblGrid>
      <w:tr w:rsidR="00F7023A" w:rsidRPr="006D3060" w14:paraId="2ECB9350" w14:textId="77777777" w:rsidTr="0013205E">
        <w:trPr>
          <w:trHeight w:val="430"/>
        </w:trPr>
        <w:tc>
          <w:tcPr>
            <w:tcW w:w="621" w:type="dxa"/>
          </w:tcPr>
          <w:p w14:paraId="7933F5A0" w14:textId="77777777" w:rsidR="00074F18" w:rsidRPr="006D3060" w:rsidRDefault="00074F18" w:rsidP="00CC76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073" w:type="dxa"/>
          </w:tcPr>
          <w:p w14:paraId="5962F94E" w14:textId="77777777" w:rsidR="00074F18" w:rsidRPr="006D3060" w:rsidRDefault="00074F18" w:rsidP="00CC76CF">
            <w:pPr>
              <w:spacing w:after="120"/>
              <w:jc w:val="center"/>
              <w:rPr>
                <w:b/>
              </w:rPr>
            </w:pPr>
            <w:r w:rsidRPr="006D3060">
              <w:rPr>
                <w:b/>
              </w:rPr>
              <w:t>Agenda item raised</w:t>
            </w:r>
          </w:p>
        </w:tc>
        <w:tc>
          <w:tcPr>
            <w:tcW w:w="5528" w:type="dxa"/>
          </w:tcPr>
          <w:p w14:paraId="4502FAAE" w14:textId="77777777" w:rsidR="00074F18" w:rsidRPr="006D3060" w:rsidRDefault="00074F18" w:rsidP="00CC76CF">
            <w:pPr>
              <w:spacing w:after="120"/>
              <w:jc w:val="center"/>
              <w:rPr>
                <w:b/>
              </w:rPr>
            </w:pPr>
            <w:r w:rsidRPr="006D3060">
              <w:rPr>
                <w:b/>
              </w:rPr>
              <w:t>Main issues &amp; discussion</w:t>
            </w:r>
          </w:p>
        </w:tc>
        <w:tc>
          <w:tcPr>
            <w:tcW w:w="3969" w:type="dxa"/>
          </w:tcPr>
          <w:p w14:paraId="1E57BAC8" w14:textId="77777777" w:rsidR="00074F18" w:rsidRPr="006D3060" w:rsidRDefault="00074F18" w:rsidP="00CC76CF">
            <w:pPr>
              <w:spacing w:after="120"/>
              <w:jc w:val="center"/>
              <w:rPr>
                <w:b/>
              </w:rPr>
            </w:pPr>
            <w:r w:rsidRPr="006D3060">
              <w:rPr>
                <w:b/>
              </w:rPr>
              <w:t>Action to be taken</w:t>
            </w:r>
          </w:p>
        </w:tc>
        <w:tc>
          <w:tcPr>
            <w:tcW w:w="2694" w:type="dxa"/>
          </w:tcPr>
          <w:p w14:paraId="26A54EC5" w14:textId="77777777" w:rsidR="00074F18" w:rsidRPr="006D3060" w:rsidRDefault="00074F18" w:rsidP="00CC76CF">
            <w:pPr>
              <w:spacing w:after="120"/>
              <w:jc w:val="center"/>
              <w:rPr>
                <w:b/>
              </w:rPr>
            </w:pPr>
            <w:r w:rsidRPr="006D3060">
              <w:rPr>
                <w:b/>
              </w:rPr>
              <w:t>By who</w:t>
            </w:r>
            <w:r w:rsidR="00AB4B1F" w:rsidRPr="006D3060">
              <w:rPr>
                <w:b/>
              </w:rPr>
              <w:t>m</w:t>
            </w:r>
            <w:r w:rsidRPr="006D3060">
              <w:rPr>
                <w:b/>
              </w:rPr>
              <w:t xml:space="preserve"> &amp; when</w:t>
            </w:r>
          </w:p>
        </w:tc>
      </w:tr>
      <w:tr w:rsidR="00F7023A" w:rsidRPr="006D3060" w14:paraId="2C483823" w14:textId="77777777" w:rsidTr="00F7023A">
        <w:tc>
          <w:tcPr>
            <w:tcW w:w="621" w:type="dxa"/>
          </w:tcPr>
          <w:p w14:paraId="52DF434C" w14:textId="77777777" w:rsidR="00FE41EA" w:rsidRPr="006D3060" w:rsidRDefault="00FE41EA" w:rsidP="00FE41EA">
            <w:pPr>
              <w:spacing w:after="120"/>
              <w:rPr>
                <w:b/>
              </w:rPr>
            </w:pPr>
            <w:r w:rsidRPr="006D3060">
              <w:rPr>
                <w:b/>
              </w:rPr>
              <w:t>0</w:t>
            </w:r>
          </w:p>
        </w:tc>
        <w:tc>
          <w:tcPr>
            <w:tcW w:w="2073" w:type="dxa"/>
          </w:tcPr>
          <w:p w14:paraId="5A258F47" w14:textId="19C053C0" w:rsidR="00FE41EA" w:rsidRPr="006D3060" w:rsidRDefault="00897DF4" w:rsidP="004C428B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>Review of outstanding items from past SMB</w:t>
            </w:r>
            <w:r w:rsidR="00001AB2" w:rsidRPr="006D3060">
              <w:rPr>
                <w:b/>
              </w:rPr>
              <w:t>s</w:t>
            </w:r>
            <w:r w:rsidR="001500C0" w:rsidRPr="006D3060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14:paraId="6DF67A5F" w14:textId="77777777" w:rsidR="004C4AE4" w:rsidRPr="006D3060" w:rsidRDefault="008E36D8" w:rsidP="004C4AE4">
            <w:pPr>
              <w:spacing w:before="120" w:after="120"/>
            </w:pPr>
            <w:r w:rsidRPr="006D3060">
              <w:rPr>
                <w:b/>
              </w:rPr>
              <w:t>1.</w:t>
            </w:r>
            <w:r w:rsidRPr="006D3060">
              <w:t xml:space="preserve"> Reminder </w:t>
            </w:r>
            <w:r w:rsidR="00AB2620" w:rsidRPr="006D3060">
              <w:t>to complete the</w:t>
            </w:r>
            <w:r w:rsidRPr="006D3060">
              <w:t xml:space="preserve"> 9 mandatory training</w:t>
            </w:r>
            <w:r w:rsidR="00AB2620" w:rsidRPr="006D3060">
              <w:t xml:space="preserve"> courses </w:t>
            </w:r>
            <w:r w:rsidRPr="006D3060">
              <w:t xml:space="preserve">&amp; </w:t>
            </w:r>
            <w:r w:rsidR="00AB2620" w:rsidRPr="006D3060">
              <w:t>1 additional one on</w:t>
            </w:r>
            <w:r w:rsidRPr="006D3060">
              <w:t xml:space="preserve"> audit.</w:t>
            </w:r>
          </w:p>
          <w:p w14:paraId="23C177B7" w14:textId="77777777" w:rsidR="008E36D8" w:rsidRPr="006D3060" w:rsidRDefault="008E36D8" w:rsidP="004C4AE4">
            <w:pPr>
              <w:spacing w:before="120" w:after="120"/>
            </w:pPr>
            <w:r w:rsidRPr="006D3060">
              <w:rPr>
                <w:b/>
              </w:rPr>
              <w:t>2.</w:t>
            </w:r>
            <w:r w:rsidRPr="006D3060">
              <w:t xml:space="preserve"> </w:t>
            </w:r>
            <w:r w:rsidR="00AB2620" w:rsidRPr="006D3060">
              <w:t xml:space="preserve">Reminder on </w:t>
            </w:r>
            <w:r w:rsidRPr="006D3060">
              <w:t xml:space="preserve">e-Performance </w:t>
            </w:r>
            <w:r w:rsidR="00AB2620" w:rsidRPr="006D3060">
              <w:t xml:space="preserve">evaluations for </w:t>
            </w:r>
            <w:r w:rsidRPr="006D3060">
              <w:t xml:space="preserve">17-18 &amp; </w:t>
            </w:r>
            <w:r w:rsidR="00AB2620" w:rsidRPr="006D3060">
              <w:t xml:space="preserve">work-plans for </w:t>
            </w:r>
            <w:r w:rsidRPr="006D3060">
              <w:t>18-19.</w:t>
            </w:r>
          </w:p>
          <w:p w14:paraId="501A5BDB" w14:textId="77777777" w:rsidR="00647932" w:rsidRPr="006D3060" w:rsidRDefault="008E36D8" w:rsidP="00587124">
            <w:pPr>
              <w:spacing w:before="120" w:after="120"/>
            </w:pPr>
            <w:r w:rsidRPr="006D3060">
              <w:rPr>
                <w:b/>
              </w:rPr>
              <w:t>3.</w:t>
            </w:r>
            <w:r w:rsidRPr="006D3060">
              <w:t xml:space="preserve"> Cost recovery discussion to be finalised. DED encouraged SMB to go ahead with </w:t>
            </w:r>
            <w:r w:rsidR="00AB2620" w:rsidRPr="006D3060">
              <w:t>CR</w:t>
            </w:r>
            <w:r w:rsidRPr="006D3060">
              <w:t xml:space="preserve"> in view of the current financial situation and austerity measures. </w:t>
            </w:r>
          </w:p>
        </w:tc>
        <w:tc>
          <w:tcPr>
            <w:tcW w:w="3969" w:type="dxa"/>
          </w:tcPr>
          <w:p w14:paraId="1E42B920" w14:textId="77777777" w:rsidR="008E36D8" w:rsidRPr="006D3060" w:rsidRDefault="008E36D8" w:rsidP="004C4AE4">
            <w:pPr>
              <w:spacing w:before="120" w:after="120"/>
            </w:pPr>
            <w:r w:rsidRPr="006D3060">
              <w:rPr>
                <w:b/>
              </w:rPr>
              <w:t>1 &amp; 2.</w:t>
            </w:r>
            <w:r w:rsidRPr="006D3060">
              <w:t xml:space="preserve"> Complete training &amp; e-performance.</w:t>
            </w:r>
          </w:p>
          <w:p w14:paraId="00C4CEEE" w14:textId="77777777" w:rsidR="008E36D8" w:rsidRPr="006D3060" w:rsidRDefault="008E36D8" w:rsidP="004C4AE4">
            <w:pPr>
              <w:spacing w:before="120" w:after="120"/>
            </w:pPr>
            <w:r w:rsidRPr="006D3060">
              <w:rPr>
                <w:b/>
              </w:rPr>
              <w:t>3.</w:t>
            </w:r>
            <w:r w:rsidRPr="006D3060">
              <w:t xml:space="preserve"> To be discussed in next SMB.</w:t>
            </w:r>
          </w:p>
        </w:tc>
        <w:tc>
          <w:tcPr>
            <w:tcW w:w="2694" w:type="dxa"/>
          </w:tcPr>
          <w:p w14:paraId="19432CD2" w14:textId="77777777" w:rsidR="00BA432A" w:rsidRPr="006D3060" w:rsidRDefault="008E36D8" w:rsidP="004C428B">
            <w:pPr>
              <w:spacing w:before="120" w:after="120"/>
            </w:pPr>
            <w:r w:rsidRPr="006D3060">
              <w:rPr>
                <w:b/>
              </w:rPr>
              <w:t>1.</w:t>
            </w:r>
            <w:r w:rsidRPr="006D3060">
              <w:t xml:space="preserve"> End o</w:t>
            </w:r>
            <w:r w:rsidR="006D3060">
              <w:t>f August</w:t>
            </w:r>
          </w:p>
          <w:p w14:paraId="411B3C26" w14:textId="77777777" w:rsidR="008E36D8" w:rsidRPr="006D3060" w:rsidRDefault="008E36D8" w:rsidP="004C428B">
            <w:pPr>
              <w:spacing w:before="120" w:after="120"/>
            </w:pPr>
            <w:r w:rsidRPr="006D3060">
              <w:rPr>
                <w:b/>
              </w:rPr>
              <w:t>2.</w:t>
            </w:r>
            <w:r w:rsidR="006D3060">
              <w:t xml:space="preserve"> End July</w:t>
            </w:r>
          </w:p>
          <w:p w14:paraId="4CDF4433" w14:textId="77777777" w:rsidR="008E36D8" w:rsidRPr="006D3060" w:rsidRDefault="008E36D8" w:rsidP="004C428B">
            <w:pPr>
              <w:spacing w:before="120" w:after="120"/>
            </w:pPr>
            <w:r w:rsidRPr="006D3060">
              <w:rPr>
                <w:b/>
              </w:rPr>
              <w:t>3.</w:t>
            </w:r>
            <w:r w:rsidRPr="006D3060">
              <w:t xml:space="preserve"> End August</w:t>
            </w:r>
          </w:p>
        </w:tc>
      </w:tr>
      <w:tr w:rsidR="00F7023A" w:rsidRPr="006D3060" w14:paraId="5E4D2943" w14:textId="77777777" w:rsidTr="00F7023A">
        <w:tc>
          <w:tcPr>
            <w:tcW w:w="621" w:type="dxa"/>
          </w:tcPr>
          <w:p w14:paraId="699E67DC" w14:textId="77777777" w:rsidR="002B4BFC" w:rsidRPr="006D3060" w:rsidRDefault="008E5CAF" w:rsidP="002B4BFC">
            <w:pPr>
              <w:spacing w:after="120"/>
              <w:rPr>
                <w:b/>
              </w:rPr>
            </w:pPr>
            <w:r w:rsidRPr="006D3060">
              <w:rPr>
                <w:b/>
              </w:rPr>
              <w:t>1</w:t>
            </w:r>
          </w:p>
        </w:tc>
        <w:tc>
          <w:tcPr>
            <w:tcW w:w="2073" w:type="dxa"/>
          </w:tcPr>
          <w:p w14:paraId="7D035842" w14:textId="77777777" w:rsidR="00AC6A53" w:rsidRPr="006D3060" w:rsidRDefault="004C4AE4" w:rsidP="004C428B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>HLPF summary</w:t>
            </w:r>
            <w:r w:rsidR="00500509" w:rsidRPr="006D3060">
              <w:rPr>
                <w:b/>
              </w:rPr>
              <w:t xml:space="preserve"> (ED)</w:t>
            </w:r>
          </w:p>
          <w:p w14:paraId="045DC70E" w14:textId="77777777" w:rsidR="00AC6A53" w:rsidRPr="006D3060" w:rsidRDefault="00AC6A53" w:rsidP="004C428B">
            <w:pPr>
              <w:spacing w:before="120" w:after="120"/>
              <w:rPr>
                <w:b/>
              </w:rPr>
            </w:pPr>
          </w:p>
          <w:p w14:paraId="1CAA06EE" w14:textId="77777777" w:rsidR="00AC6A53" w:rsidRPr="006D3060" w:rsidRDefault="00AC6A53" w:rsidP="004C428B">
            <w:pPr>
              <w:spacing w:before="120" w:after="120"/>
              <w:rPr>
                <w:b/>
              </w:rPr>
            </w:pPr>
          </w:p>
          <w:p w14:paraId="41D89DB2" w14:textId="77777777" w:rsidR="00AC6A53" w:rsidRPr="006D3060" w:rsidRDefault="00AC6A53" w:rsidP="004C428B">
            <w:pPr>
              <w:spacing w:before="120" w:after="120"/>
              <w:rPr>
                <w:b/>
              </w:rPr>
            </w:pPr>
          </w:p>
          <w:p w14:paraId="2E268936" w14:textId="77777777" w:rsidR="00AC6A53" w:rsidRPr="006D3060" w:rsidRDefault="00AC6A53" w:rsidP="004C428B">
            <w:pPr>
              <w:spacing w:before="120" w:after="120"/>
              <w:rPr>
                <w:b/>
              </w:rPr>
            </w:pPr>
          </w:p>
          <w:p w14:paraId="176AA467" w14:textId="77777777" w:rsidR="00AC6A53" w:rsidRPr="006D3060" w:rsidRDefault="00AC6A53" w:rsidP="00AC6A53">
            <w:pPr>
              <w:rPr>
                <w:b/>
              </w:rPr>
            </w:pPr>
          </w:p>
          <w:p w14:paraId="7131B757" w14:textId="77777777" w:rsidR="00AC6A53" w:rsidRPr="006D3060" w:rsidRDefault="00AC6A53" w:rsidP="00AC6A53">
            <w:pPr>
              <w:rPr>
                <w:b/>
              </w:rPr>
            </w:pPr>
          </w:p>
          <w:p w14:paraId="1B538017" w14:textId="77777777" w:rsidR="002B4BFC" w:rsidRPr="006D3060" w:rsidRDefault="002B4BFC" w:rsidP="004C428B">
            <w:pPr>
              <w:spacing w:before="120" w:after="120"/>
              <w:rPr>
                <w:b/>
              </w:rPr>
            </w:pPr>
          </w:p>
        </w:tc>
        <w:tc>
          <w:tcPr>
            <w:tcW w:w="5528" w:type="dxa"/>
          </w:tcPr>
          <w:p w14:paraId="6D65B304" w14:textId="77777777" w:rsidR="00AC6A53" w:rsidRPr="006D3060" w:rsidRDefault="00647932" w:rsidP="004C428B">
            <w:pPr>
              <w:spacing w:before="120" w:after="120"/>
              <w:rPr>
                <w:color w:val="000000" w:themeColor="text1"/>
              </w:rPr>
            </w:pPr>
            <w:r w:rsidRPr="006D3060">
              <w:rPr>
                <w:b/>
              </w:rPr>
              <w:t>1.</w:t>
            </w:r>
            <w:r w:rsidR="004C4AE4" w:rsidRPr="006D3060">
              <w:rPr>
                <w:b/>
              </w:rPr>
              <w:t xml:space="preserve"> </w:t>
            </w:r>
            <w:r w:rsidR="004C4AE4" w:rsidRPr="006D3060">
              <w:t xml:space="preserve">Success for UNH. Recognized as a global player in </w:t>
            </w:r>
            <w:r w:rsidR="004C4AE4" w:rsidRPr="006D3060">
              <w:rPr>
                <w:color w:val="000000" w:themeColor="text1"/>
              </w:rPr>
              <w:t>urbanisation. Recognized by D</w:t>
            </w:r>
            <w:r w:rsidR="00AB2620" w:rsidRPr="006D3060">
              <w:rPr>
                <w:color w:val="000000" w:themeColor="text1"/>
              </w:rPr>
              <w:t>SG</w:t>
            </w:r>
            <w:r w:rsidR="004C4AE4" w:rsidRPr="006D3060">
              <w:rPr>
                <w:color w:val="000000" w:themeColor="text1"/>
              </w:rPr>
              <w:t xml:space="preserve"> in her press release (</w:t>
            </w:r>
            <w:hyperlink r:id="rId8" w:history="1">
              <w:r w:rsidR="004C4AE4" w:rsidRPr="006D3060">
                <w:rPr>
                  <w:rStyle w:val="Hyperlink"/>
                </w:rPr>
                <w:t>https://www.un.org/press/en/2018/dsgsm1203.doc.htm</w:t>
              </w:r>
            </w:hyperlink>
            <w:r w:rsidR="004C4AE4" w:rsidRPr="006D3060">
              <w:rPr>
                <w:color w:val="000000" w:themeColor="text1"/>
              </w:rPr>
              <w:t xml:space="preserve">). ED urged SMB to live up to the DSG’s expectations. UNH has received </w:t>
            </w:r>
            <w:r w:rsidR="00AB2620" w:rsidRPr="006D3060">
              <w:rPr>
                <w:color w:val="000000" w:themeColor="text1"/>
              </w:rPr>
              <w:t>reform funding</w:t>
            </w:r>
            <w:r w:rsidR="004C4AE4" w:rsidRPr="006D3060">
              <w:rPr>
                <w:color w:val="000000" w:themeColor="text1"/>
              </w:rPr>
              <w:t xml:space="preserve"> from Sweden &amp; Norway</w:t>
            </w:r>
            <w:r w:rsidR="00DD5D60" w:rsidRPr="006D3060">
              <w:rPr>
                <w:color w:val="000000" w:themeColor="text1"/>
              </w:rPr>
              <w:t xml:space="preserve">. OEWG </w:t>
            </w:r>
            <w:r w:rsidR="00AB2620" w:rsidRPr="006D3060">
              <w:rPr>
                <w:color w:val="000000" w:themeColor="text1"/>
              </w:rPr>
              <w:t>work concluded with a favourable outcome</w:t>
            </w:r>
            <w:r w:rsidR="00DD5D60" w:rsidRPr="006D3060">
              <w:rPr>
                <w:color w:val="000000" w:themeColor="text1"/>
              </w:rPr>
              <w:t>, thanks to CPR Chair leadership.</w:t>
            </w:r>
          </w:p>
          <w:p w14:paraId="71919749" w14:textId="77777777" w:rsidR="00AC6A53" w:rsidRPr="006D3060" w:rsidRDefault="00AC6A53" w:rsidP="004C428B">
            <w:pPr>
              <w:spacing w:before="120" w:after="120"/>
            </w:pPr>
            <w:r w:rsidRPr="006D3060">
              <w:rPr>
                <w:b/>
              </w:rPr>
              <w:t xml:space="preserve">2. </w:t>
            </w:r>
            <w:r w:rsidR="00500509" w:rsidRPr="006D3060">
              <w:t>DED r</w:t>
            </w:r>
            <w:r w:rsidRPr="006D3060">
              <w:t>ecognized E</w:t>
            </w:r>
            <w:r w:rsidR="006D3060">
              <w:t>D’s leadership, vision &amp;</w:t>
            </w:r>
            <w:r w:rsidRPr="006D3060">
              <w:t xml:space="preserve"> trust in the team. UNH is taking </w:t>
            </w:r>
            <w:r w:rsidR="00AB2620" w:rsidRPr="006D3060">
              <w:t>is embracing its lead role on urbanisation. Urged personnel to</w:t>
            </w:r>
            <w:r w:rsidRPr="006D3060">
              <w:t xml:space="preserve"> embrace change and commit to implementing the agendas and support one another. </w:t>
            </w:r>
          </w:p>
        </w:tc>
        <w:tc>
          <w:tcPr>
            <w:tcW w:w="3969" w:type="dxa"/>
          </w:tcPr>
          <w:p w14:paraId="7965CF04" w14:textId="77777777" w:rsidR="00BA15E6" w:rsidRPr="006D3060" w:rsidRDefault="00AB2620" w:rsidP="004C4AE4">
            <w:pPr>
              <w:spacing w:before="120"/>
            </w:pPr>
            <w:r w:rsidRPr="006D3060">
              <w:rPr>
                <w:b/>
              </w:rPr>
              <w:t>1 &amp; 2</w:t>
            </w:r>
            <w:r w:rsidRPr="006D3060">
              <w:t>. N/A</w:t>
            </w:r>
          </w:p>
        </w:tc>
        <w:tc>
          <w:tcPr>
            <w:tcW w:w="2694" w:type="dxa"/>
          </w:tcPr>
          <w:p w14:paraId="51C3C443" w14:textId="77777777" w:rsidR="007F1A91" w:rsidRPr="006D3060" w:rsidRDefault="00AB2620" w:rsidP="004C4AE4">
            <w:pPr>
              <w:spacing w:before="120" w:after="120"/>
            </w:pPr>
            <w:r w:rsidRPr="006D3060">
              <w:rPr>
                <w:b/>
              </w:rPr>
              <w:t>1 &amp; 2.</w:t>
            </w:r>
            <w:r w:rsidRPr="006D3060">
              <w:t xml:space="preserve"> N/A</w:t>
            </w:r>
          </w:p>
        </w:tc>
      </w:tr>
      <w:tr w:rsidR="00F7023A" w:rsidRPr="006D3060" w14:paraId="22CF4C3A" w14:textId="77777777" w:rsidTr="00D003A9">
        <w:trPr>
          <w:trHeight w:val="870"/>
        </w:trPr>
        <w:tc>
          <w:tcPr>
            <w:tcW w:w="621" w:type="dxa"/>
          </w:tcPr>
          <w:p w14:paraId="5134D0E5" w14:textId="77777777" w:rsidR="002B4BFC" w:rsidRPr="006D3060" w:rsidRDefault="008E5CAF" w:rsidP="00F624DD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>2</w:t>
            </w:r>
          </w:p>
        </w:tc>
        <w:tc>
          <w:tcPr>
            <w:tcW w:w="2073" w:type="dxa"/>
          </w:tcPr>
          <w:p w14:paraId="723ECE0F" w14:textId="77777777" w:rsidR="008E4B46" w:rsidRPr="006D3060" w:rsidRDefault="004C4AE4" w:rsidP="00F624DD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>Update on change management</w:t>
            </w:r>
            <w:r w:rsidR="009A3BE5" w:rsidRPr="006D3060">
              <w:rPr>
                <w:b/>
              </w:rPr>
              <w:t xml:space="preserve"> (Naison M.)</w:t>
            </w:r>
            <w:r w:rsidR="004B43F6" w:rsidRPr="006D3060">
              <w:rPr>
                <w:b/>
              </w:rPr>
              <w:t xml:space="preserve"> </w:t>
            </w:r>
            <w:r w:rsidR="004B43F6" w:rsidRPr="006D3060">
              <w:rPr>
                <w:i/>
                <w:sz w:val="20"/>
              </w:rPr>
              <w:t xml:space="preserve">Refer to Report on Progress in Implementation of UNH Change Actions </w:t>
            </w:r>
            <w:r w:rsidR="004B43F6" w:rsidRPr="006D3060">
              <w:rPr>
                <w:i/>
                <w:sz w:val="20"/>
              </w:rPr>
              <w:lastRenderedPageBreak/>
              <w:t>document</w:t>
            </w:r>
            <w:r w:rsidR="004E0148" w:rsidRPr="006D3060">
              <w:rPr>
                <w:i/>
                <w:sz w:val="20"/>
              </w:rPr>
              <w:t xml:space="preserve"> &amp; decision making flow-chart</w:t>
            </w:r>
            <w:r w:rsidR="004B43F6" w:rsidRPr="006D3060">
              <w:rPr>
                <w:i/>
                <w:sz w:val="20"/>
              </w:rPr>
              <w:t xml:space="preserve"> </w:t>
            </w:r>
            <w:r w:rsidR="004E0148" w:rsidRPr="006D3060">
              <w:rPr>
                <w:i/>
                <w:sz w:val="20"/>
              </w:rPr>
              <w:t>(</w:t>
            </w:r>
            <w:r w:rsidR="004B43F6" w:rsidRPr="006D3060">
              <w:rPr>
                <w:i/>
                <w:sz w:val="20"/>
              </w:rPr>
              <w:t>26 July</w:t>
            </w:r>
            <w:r w:rsidR="004E0148" w:rsidRPr="006D3060">
              <w:rPr>
                <w:i/>
                <w:sz w:val="20"/>
              </w:rPr>
              <w:t>)</w:t>
            </w:r>
          </w:p>
        </w:tc>
        <w:tc>
          <w:tcPr>
            <w:tcW w:w="5528" w:type="dxa"/>
          </w:tcPr>
          <w:p w14:paraId="6E7412BA" w14:textId="77777777" w:rsidR="0005555F" w:rsidRPr="006D3060" w:rsidRDefault="009A3BE5" w:rsidP="009A3BE5">
            <w:pPr>
              <w:spacing w:before="120" w:after="120"/>
            </w:pPr>
            <w:r w:rsidRPr="006D3060">
              <w:rPr>
                <w:b/>
              </w:rPr>
              <w:lastRenderedPageBreak/>
              <w:t>1.</w:t>
            </w:r>
            <w:r w:rsidRPr="006D3060">
              <w:t xml:space="preserve"> 27 </w:t>
            </w:r>
            <w:r w:rsidR="004B43F6" w:rsidRPr="006D3060">
              <w:t xml:space="preserve">planned </w:t>
            </w:r>
            <w:r w:rsidRPr="006D3060">
              <w:t>change actions May-July</w:t>
            </w:r>
            <w:r w:rsidR="004E0148" w:rsidRPr="006D3060">
              <w:t xml:space="preserve">. </w:t>
            </w:r>
            <w:r w:rsidR="00BB1BDD" w:rsidRPr="006D3060">
              <w:t>Progress not as fast</w:t>
            </w:r>
            <w:r w:rsidR="00520889" w:rsidRPr="006D3060">
              <w:t xml:space="preserve"> as envisaged</w:t>
            </w:r>
            <w:r w:rsidR="00BB1BDD" w:rsidRPr="006D3060">
              <w:t xml:space="preserve">. </w:t>
            </w:r>
            <w:r w:rsidR="00520889" w:rsidRPr="006D3060">
              <w:t>To date, 4</w:t>
            </w:r>
            <w:r w:rsidR="00BB1BDD" w:rsidRPr="006D3060">
              <w:t xml:space="preserve"> change actions have been completed, 23</w:t>
            </w:r>
            <w:r w:rsidR="004B43F6" w:rsidRPr="006D3060">
              <w:t xml:space="preserve"> are</w:t>
            </w:r>
            <w:r w:rsidR="00BB1BDD" w:rsidRPr="006D3060">
              <w:t xml:space="preserve"> in progress</w:t>
            </w:r>
            <w:r w:rsidR="00520889" w:rsidRPr="006D3060">
              <w:t xml:space="preserve"> at</w:t>
            </w:r>
            <w:r w:rsidR="00BB1BDD" w:rsidRPr="006D3060">
              <w:t xml:space="preserve"> varying stages. </w:t>
            </w:r>
            <w:r w:rsidR="0005555F" w:rsidRPr="006D3060">
              <w:t>Challenges in terms of streamlining operating procedures, closing projects. Absence of staff on mission and leave. Funding</w:t>
            </w:r>
            <w:r w:rsidR="00520889" w:rsidRPr="006D3060">
              <w:t xml:space="preserve"> received</w:t>
            </w:r>
            <w:r w:rsidR="0005555F" w:rsidRPr="006D3060">
              <w:t xml:space="preserve"> will facilitate </w:t>
            </w:r>
            <w:r w:rsidR="00520889" w:rsidRPr="006D3060">
              <w:t>speeding up the</w:t>
            </w:r>
            <w:r w:rsidR="0005555F" w:rsidRPr="006D3060">
              <w:t xml:space="preserve"> change </w:t>
            </w:r>
            <w:r w:rsidR="00520889" w:rsidRPr="006D3060">
              <w:t xml:space="preserve">action </w:t>
            </w:r>
            <w:r w:rsidR="00520889" w:rsidRPr="006D3060">
              <w:lastRenderedPageBreak/>
              <w:t>process</w:t>
            </w:r>
            <w:r w:rsidR="0005555F" w:rsidRPr="006D3060">
              <w:t>. Diagnostic assessment can</w:t>
            </w:r>
            <w:r w:rsidR="004B43F6" w:rsidRPr="006D3060">
              <w:t xml:space="preserve"> now</w:t>
            </w:r>
            <w:r w:rsidR="0005555F" w:rsidRPr="006D3060">
              <w:t xml:space="preserve"> be pushed forward. Highlighted a few actions: </w:t>
            </w:r>
            <w:r w:rsidR="0005555F" w:rsidRPr="006D3060">
              <w:rPr>
                <w:b/>
              </w:rPr>
              <w:t>#</w:t>
            </w:r>
            <w:r w:rsidR="00F36FAA" w:rsidRPr="006D3060">
              <w:rPr>
                <w:b/>
              </w:rPr>
              <w:t>A</w:t>
            </w:r>
            <w:r w:rsidR="0005555F" w:rsidRPr="006D3060">
              <w:rPr>
                <w:b/>
              </w:rPr>
              <w:t>4</w:t>
            </w:r>
            <w:r w:rsidR="0005555F" w:rsidRPr="006D3060">
              <w:t xml:space="preserve"> – discussed at SMC. Training for senior managers.</w:t>
            </w:r>
            <w:r w:rsidR="0005555F" w:rsidRPr="006D3060">
              <w:rPr>
                <w:b/>
              </w:rPr>
              <w:t xml:space="preserve"> #</w:t>
            </w:r>
            <w:r w:rsidR="00F36FAA" w:rsidRPr="006D3060">
              <w:rPr>
                <w:b/>
              </w:rPr>
              <w:t>A</w:t>
            </w:r>
            <w:r w:rsidR="0005555F" w:rsidRPr="006D3060">
              <w:rPr>
                <w:b/>
              </w:rPr>
              <w:t>5</w:t>
            </w:r>
            <w:r w:rsidR="0005555F" w:rsidRPr="006D3060">
              <w:t xml:space="preserve"> – change agents (OCHA model), invitation went out, 60 applications from staff all over. After selection, training in organisational change/management. # </w:t>
            </w:r>
            <w:r w:rsidR="00F36FAA" w:rsidRPr="006D3060">
              <w:t>A</w:t>
            </w:r>
            <w:r w:rsidR="0005555F" w:rsidRPr="006D3060">
              <w:t>11 – data lacking on staff recru</w:t>
            </w:r>
            <w:r w:rsidR="000D1EF1" w:rsidRPr="006D3060">
              <w:t>i</w:t>
            </w:r>
            <w:r w:rsidR="0005555F" w:rsidRPr="006D3060">
              <w:t xml:space="preserve">ted through UNOPS/UNDP, </w:t>
            </w:r>
            <w:r w:rsidR="004B43F6" w:rsidRPr="006D3060">
              <w:t>reminder has</w:t>
            </w:r>
            <w:r w:rsidR="000D1EF1" w:rsidRPr="006D3060">
              <w:t xml:space="preserve"> been issued</w:t>
            </w:r>
            <w:r w:rsidR="0005555F" w:rsidRPr="006D3060">
              <w:t xml:space="preserve">. </w:t>
            </w:r>
            <w:r w:rsidR="00F36FAA" w:rsidRPr="006D3060">
              <w:rPr>
                <w:b/>
              </w:rPr>
              <w:t>#A12</w:t>
            </w:r>
            <w:r w:rsidR="00F36FAA" w:rsidRPr="006D3060">
              <w:t xml:space="preserve"> </w:t>
            </w:r>
            <w:r w:rsidR="006D2240" w:rsidRPr="006D3060">
              <w:t>–</w:t>
            </w:r>
            <w:r w:rsidR="00F36FAA" w:rsidRPr="006D3060">
              <w:t xml:space="preserve"> </w:t>
            </w:r>
            <w:r w:rsidR="006D2240" w:rsidRPr="006D3060">
              <w:t>on track</w:t>
            </w:r>
            <w:r w:rsidR="006D2240" w:rsidRPr="006D3060">
              <w:rPr>
                <w:color w:val="000000" w:themeColor="text1"/>
              </w:rPr>
              <w:t xml:space="preserve"> to have a first roadmap</w:t>
            </w:r>
            <w:r w:rsidR="000D1EF1" w:rsidRPr="006D3060">
              <w:rPr>
                <w:color w:val="000000" w:themeColor="text1"/>
              </w:rPr>
              <w:t xml:space="preserve"> </w:t>
            </w:r>
            <w:r w:rsidR="006D2240" w:rsidRPr="006D3060">
              <w:rPr>
                <w:color w:val="000000" w:themeColor="text1"/>
              </w:rPr>
              <w:t>draft</w:t>
            </w:r>
            <w:r w:rsidR="000D1EF1" w:rsidRPr="006D3060">
              <w:rPr>
                <w:color w:val="000000" w:themeColor="text1"/>
              </w:rPr>
              <w:t xml:space="preserve"> by</w:t>
            </w:r>
            <w:r w:rsidR="006D2240" w:rsidRPr="006D3060">
              <w:rPr>
                <w:color w:val="000000" w:themeColor="text1"/>
              </w:rPr>
              <w:t xml:space="preserve"> next month</w:t>
            </w:r>
            <w:r w:rsidR="00F36FAA" w:rsidRPr="006D3060">
              <w:rPr>
                <w:color w:val="000000" w:themeColor="text1"/>
              </w:rPr>
              <w:t>.</w:t>
            </w:r>
            <w:r w:rsidR="006D2240" w:rsidRPr="006D3060">
              <w:rPr>
                <w:color w:val="000000" w:themeColor="text1"/>
              </w:rPr>
              <w:t xml:space="preserve"> UNH-wide involvement</w:t>
            </w:r>
            <w:r w:rsidR="000D1EF1" w:rsidRPr="006D3060">
              <w:rPr>
                <w:color w:val="000000" w:themeColor="text1"/>
              </w:rPr>
              <w:t xml:space="preserve"> through</w:t>
            </w:r>
            <w:r w:rsidR="006D2240" w:rsidRPr="006D3060">
              <w:rPr>
                <w:color w:val="000000" w:themeColor="text1"/>
              </w:rPr>
              <w:t xml:space="preserve"> 4 tracks. </w:t>
            </w:r>
            <w:r w:rsidR="000D1EF1" w:rsidRPr="006D3060">
              <w:rPr>
                <w:color w:val="000000" w:themeColor="text1"/>
              </w:rPr>
              <w:t>Inputs have been received</w:t>
            </w:r>
            <w:r w:rsidR="006D2240" w:rsidRPr="006D3060">
              <w:t>. Next step is for the S</w:t>
            </w:r>
            <w:r w:rsidR="000D1EF1" w:rsidRPr="006D3060">
              <w:t xml:space="preserve">trategic Planning </w:t>
            </w:r>
            <w:r w:rsidR="006D2240" w:rsidRPr="006D3060">
              <w:t>T</w:t>
            </w:r>
            <w:r w:rsidR="000D1EF1" w:rsidRPr="006D3060">
              <w:t>eam</w:t>
            </w:r>
            <w:r w:rsidR="006D2240" w:rsidRPr="006D3060">
              <w:t xml:space="preserve"> to meet with all groups</w:t>
            </w:r>
            <w:r w:rsidR="006D3060">
              <w:t>,</w:t>
            </w:r>
            <w:r w:rsidR="006D2240" w:rsidRPr="006D3060">
              <w:t xml:space="preserve"> </w:t>
            </w:r>
            <w:r w:rsidR="000D1EF1" w:rsidRPr="006D3060">
              <w:t>middle of August</w:t>
            </w:r>
            <w:r w:rsidR="006D2240" w:rsidRPr="006D3060">
              <w:t xml:space="preserve">, </w:t>
            </w:r>
            <w:r w:rsidR="000D1EF1" w:rsidRPr="006D3060">
              <w:t>review the first draft</w:t>
            </w:r>
            <w:r w:rsidR="006D2240" w:rsidRPr="006D3060">
              <w:t xml:space="preserve"> &amp; agree on </w:t>
            </w:r>
            <w:r w:rsidR="000D1EF1" w:rsidRPr="006D3060">
              <w:t xml:space="preserve">the way forward for </w:t>
            </w:r>
            <w:r w:rsidR="006D2240" w:rsidRPr="006D3060">
              <w:t>UNH</w:t>
            </w:r>
            <w:r w:rsidR="000D1EF1" w:rsidRPr="006D3060">
              <w:t xml:space="preserve"> SP </w:t>
            </w:r>
            <w:r w:rsidR="006D2240" w:rsidRPr="006D3060">
              <w:t xml:space="preserve">2020-2025. </w:t>
            </w:r>
            <w:r w:rsidR="000D1EF1" w:rsidRPr="006D3060">
              <w:t>Based on feedback/</w:t>
            </w:r>
            <w:r w:rsidR="00D23AC1" w:rsidRPr="006D3060">
              <w:t xml:space="preserve">guidance, revisit draft </w:t>
            </w:r>
            <w:r w:rsidR="000D1EF1" w:rsidRPr="006D3060">
              <w:t xml:space="preserve">and </w:t>
            </w:r>
            <w:r w:rsidR="00D23AC1" w:rsidRPr="006D3060">
              <w:t>engage CPR</w:t>
            </w:r>
            <w:r w:rsidR="000D1EF1" w:rsidRPr="006D3060">
              <w:t xml:space="preserve"> and </w:t>
            </w:r>
            <w:r w:rsidR="00D23AC1" w:rsidRPr="006D3060">
              <w:t>UN system wide, regional commissions and stakeholders.</w:t>
            </w:r>
            <w:r w:rsidR="00F36FAA" w:rsidRPr="006D3060">
              <w:t xml:space="preserve"> </w:t>
            </w:r>
            <w:r w:rsidR="00F36FAA" w:rsidRPr="006D3060">
              <w:rPr>
                <w:b/>
              </w:rPr>
              <w:t>#B4</w:t>
            </w:r>
            <w:r w:rsidR="00F36FAA" w:rsidRPr="006D3060">
              <w:t xml:space="preserve"> – revamping human settlements database</w:t>
            </w:r>
            <w:r w:rsidR="005B7844" w:rsidRPr="006D3060">
              <w:t xml:space="preserve">, facilitate UNH becoming go-to agency for data to, coupled with SDG 11 and NUA responsibility, this is crucial. </w:t>
            </w:r>
            <w:r w:rsidR="009A05C6" w:rsidRPr="006D3060">
              <w:rPr>
                <w:b/>
              </w:rPr>
              <w:t>#B9</w:t>
            </w:r>
            <w:r w:rsidR="009A05C6" w:rsidRPr="006D3060">
              <w:t xml:space="preserve"> – TOR pending review. </w:t>
            </w:r>
            <w:r w:rsidR="003B6991" w:rsidRPr="006D3060">
              <w:t>Suggest a</w:t>
            </w:r>
            <w:r w:rsidR="009A05C6" w:rsidRPr="006D3060">
              <w:t xml:space="preserve">udit </w:t>
            </w:r>
            <w:r w:rsidR="003B6991" w:rsidRPr="006D3060">
              <w:t xml:space="preserve">undertaken by an </w:t>
            </w:r>
            <w:r w:rsidR="009A05C6" w:rsidRPr="006D3060">
              <w:t>external entity</w:t>
            </w:r>
            <w:r w:rsidR="003B6991" w:rsidRPr="006D3060">
              <w:t xml:space="preserve"> to expedite process</w:t>
            </w:r>
            <w:r w:rsidR="006D2240" w:rsidRPr="006D3060">
              <w:t xml:space="preserve">. </w:t>
            </w:r>
            <w:r w:rsidR="006D2240" w:rsidRPr="006D3060">
              <w:rPr>
                <w:b/>
              </w:rPr>
              <w:t>#B10</w:t>
            </w:r>
            <w:r w:rsidR="006D2240" w:rsidRPr="006D3060">
              <w:t xml:space="preserve"> – </w:t>
            </w:r>
            <w:r w:rsidR="003B6991" w:rsidRPr="006D3060">
              <w:t xml:space="preserve">complex action to </w:t>
            </w:r>
            <w:r w:rsidR="006D2240" w:rsidRPr="006D3060">
              <w:t xml:space="preserve">undertake. </w:t>
            </w:r>
            <w:r w:rsidR="006D2240" w:rsidRPr="006D3060">
              <w:rPr>
                <w:b/>
              </w:rPr>
              <w:t>#B11</w:t>
            </w:r>
            <w:r w:rsidR="006D2240" w:rsidRPr="006D3060">
              <w:t xml:space="preserve"> – good progress has been made on released budget funding (</w:t>
            </w:r>
            <w:r w:rsidR="006D2240" w:rsidRPr="006D3060">
              <w:rPr>
                <w:b/>
              </w:rPr>
              <w:t>Liliana C.</w:t>
            </w:r>
            <w:r w:rsidR="006D2240" w:rsidRPr="006D3060">
              <w:t xml:space="preserve"> </w:t>
            </w:r>
            <w:r w:rsidR="003B6991" w:rsidRPr="006D3060">
              <w:t>lead</w:t>
            </w:r>
            <w:r w:rsidR="006D2240" w:rsidRPr="006D3060">
              <w:t xml:space="preserve"> – organising training of PMOs to move forward), was a stumbling block in project delivery. </w:t>
            </w:r>
            <w:r w:rsidR="006D2240" w:rsidRPr="006D3060">
              <w:rPr>
                <w:b/>
              </w:rPr>
              <w:t>#B13</w:t>
            </w:r>
            <w:r w:rsidR="006D2240" w:rsidRPr="006D3060">
              <w:t xml:space="preserve"> – very complex. Need</w:t>
            </w:r>
            <w:r w:rsidR="002C4748" w:rsidRPr="006D3060">
              <w:t xml:space="preserve"> baseline</w:t>
            </w:r>
            <w:r w:rsidR="006D2240" w:rsidRPr="006D3060">
              <w:t xml:space="preserve"> data first, # of projects completed but not closed. Message forthcoming from ED on this. </w:t>
            </w:r>
          </w:p>
          <w:p w14:paraId="75FF5E61" w14:textId="77777777" w:rsidR="00DA5393" w:rsidRPr="006D3060" w:rsidRDefault="00DA5393" w:rsidP="009A3BE5">
            <w:pPr>
              <w:spacing w:before="120" w:after="120"/>
            </w:pPr>
            <w:r w:rsidRPr="006D3060">
              <w:rPr>
                <w:b/>
              </w:rPr>
              <w:t>2.</w:t>
            </w:r>
            <w:r w:rsidRPr="006D3060">
              <w:t xml:space="preserve"> The decision-making flow of the change process/change agents</w:t>
            </w:r>
            <w:r w:rsidR="004E0148" w:rsidRPr="006D3060">
              <w:t xml:space="preserve"> </w:t>
            </w:r>
            <w:r w:rsidRPr="006D3060">
              <w:t>explained.</w:t>
            </w:r>
            <w:r w:rsidR="007522DA" w:rsidRPr="006D3060">
              <w:t xml:space="preserve"> SMB seen as a decision-making body on change actions through consultation. Certain change actions need review/endorsement by SMB, i.e. resource mobilisation strategy. SMB will review final change proposals</w:t>
            </w:r>
            <w:r w:rsidR="004E0148" w:rsidRPr="006D3060">
              <w:t xml:space="preserve"> and</w:t>
            </w:r>
            <w:r w:rsidR="007522DA" w:rsidRPr="006D3060">
              <w:t xml:space="preserve"> support and facilitate change actions. Training for all senior managers on organisational change forthcoming. </w:t>
            </w:r>
            <w:r w:rsidR="001949D3" w:rsidRPr="006D3060">
              <w:t xml:space="preserve">Change agents only way to make this a staff driven process. SMCC </w:t>
            </w:r>
            <w:r w:rsidR="004E0148" w:rsidRPr="006D3060">
              <w:t xml:space="preserve">role in the change process </w:t>
            </w:r>
            <w:r w:rsidR="001949D3" w:rsidRPr="006D3060">
              <w:t xml:space="preserve">is </w:t>
            </w:r>
            <w:r w:rsidR="004E0148" w:rsidRPr="006D3060">
              <w:t>crucial</w:t>
            </w:r>
            <w:r w:rsidR="001949D3" w:rsidRPr="006D3060">
              <w:t xml:space="preserve">. </w:t>
            </w:r>
          </w:p>
          <w:p w14:paraId="60D4B655" w14:textId="77777777" w:rsidR="00880230" w:rsidRPr="006D3060" w:rsidRDefault="004E0148" w:rsidP="009A3BE5">
            <w:pPr>
              <w:spacing w:before="120" w:after="120"/>
            </w:pPr>
            <w:r w:rsidRPr="00E35405">
              <w:rPr>
                <w:b/>
                <w:lang w:val="fr-FR"/>
              </w:rPr>
              <w:lastRenderedPageBreak/>
              <w:t>COMMENTS:</w:t>
            </w:r>
            <w:r w:rsidR="00880230" w:rsidRPr="00E35405">
              <w:rPr>
                <w:lang w:val="fr-FR"/>
              </w:rPr>
              <w:t xml:space="preserve"> </w:t>
            </w:r>
            <w:r w:rsidRPr="00E35405">
              <w:rPr>
                <w:b/>
                <w:lang w:val="fr-FR"/>
              </w:rPr>
              <w:t>(Kazumi O. / Chris K.)</w:t>
            </w:r>
            <w:r w:rsidRPr="00E35405">
              <w:rPr>
                <w:lang w:val="fr-FR"/>
              </w:rPr>
              <w:t xml:space="preserve"> </w:t>
            </w:r>
            <w:r w:rsidRPr="006D3060">
              <w:t>To optimise use of h</w:t>
            </w:r>
            <w:r w:rsidR="00875580" w:rsidRPr="006D3060">
              <w:t>uman resources</w:t>
            </w:r>
            <w:r w:rsidRPr="006D3060">
              <w:t>,</w:t>
            </w:r>
            <w:r w:rsidR="0057742F" w:rsidRPr="006D3060">
              <w:t xml:space="preserve"> including interns,</w:t>
            </w:r>
            <w:r w:rsidRPr="006D3060">
              <w:t xml:space="preserve"> suggest </w:t>
            </w:r>
            <w:r w:rsidR="0057742F" w:rsidRPr="006D3060">
              <w:t>harmonising</w:t>
            </w:r>
            <w:r w:rsidRPr="006D3060">
              <w:t xml:space="preserve"> </w:t>
            </w:r>
            <w:r w:rsidR="00875580" w:rsidRPr="006D3060">
              <w:t xml:space="preserve">multiple </w:t>
            </w:r>
            <w:r w:rsidR="006D3060" w:rsidRPr="006D3060">
              <w:t>work streams</w:t>
            </w:r>
            <w:r w:rsidRPr="006D3060">
              <w:t xml:space="preserve">. </w:t>
            </w:r>
            <w:r w:rsidRPr="006D3060">
              <w:rPr>
                <w:b/>
              </w:rPr>
              <w:t>(Christine M.)</w:t>
            </w:r>
            <w:r w:rsidR="00D57F99" w:rsidRPr="006D3060">
              <w:t xml:space="preserve"> </w:t>
            </w:r>
            <w:r w:rsidRPr="006D3060">
              <w:t>ERD to enhance</w:t>
            </w:r>
            <w:r w:rsidR="00D57F99" w:rsidRPr="006D3060">
              <w:t xml:space="preserve"> support </w:t>
            </w:r>
            <w:r w:rsidR="007C00E9" w:rsidRPr="006D3060">
              <w:t xml:space="preserve">to the </w:t>
            </w:r>
            <w:r w:rsidR="00D57F99" w:rsidRPr="006D3060">
              <w:t>Change T</w:t>
            </w:r>
            <w:r w:rsidRPr="006D3060">
              <w:t xml:space="preserve">F regarding </w:t>
            </w:r>
            <w:r w:rsidR="00D57F99" w:rsidRPr="006D3060">
              <w:t xml:space="preserve">monthly themes </w:t>
            </w:r>
            <w:r w:rsidRPr="006D3060">
              <w:t>as indicated in the Change Actions plan</w:t>
            </w:r>
            <w:r w:rsidR="00D57F99" w:rsidRPr="006D3060">
              <w:t xml:space="preserve">. </w:t>
            </w:r>
            <w:r w:rsidRPr="006D3060">
              <w:rPr>
                <w:b/>
              </w:rPr>
              <w:t>(</w:t>
            </w:r>
            <w:r w:rsidR="009E4BD7" w:rsidRPr="006D3060">
              <w:rPr>
                <w:b/>
              </w:rPr>
              <w:t>DED</w:t>
            </w:r>
            <w:r w:rsidRPr="006D3060">
              <w:rPr>
                <w:b/>
              </w:rPr>
              <w:t>)</w:t>
            </w:r>
            <w:r w:rsidR="009E4BD7" w:rsidRPr="006D3060">
              <w:t xml:space="preserve"> </w:t>
            </w:r>
            <w:r w:rsidR="002C4748" w:rsidRPr="006D3060">
              <w:t>highlighted absence of resource</w:t>
            </w:r>
            <w:r w:rsidR="009E4BD7" w:rsidRPr="006D3060">
              <w:t xml:space="preserve"> mobilisation</w:t>
            </w:r>
            <w:r w:rsidR="002C4748" w:rsidRPr="006D3060">
              <w:t xml:space="preserve"> action</w:t>
            </w:r>
            <w:r w:rsidR="009E4BD7" w:rsidRPr="006D3060">
              <w:t xml:space="preserve">. </w:t>
            </w:r>
            <w:r w:rsidR="002C4748" w:rsidRPr="006D3060">
              <w:t xml:space="preserve">Suggested </w:t>
            </w:r>
            <w:r w:rsidR="009E4BD7" w:rsidRPr="006D3060">
              <w:t>prioritis</w:t>
            </w:r>
            <w:r w:rsidR="002C4748" w:rsidRPr="006D3060">
              <w:t>ing certain</w:t>
            </w:r>
            <w:r w:rsidR="009E4BD7" w:rsidRPr="006D3060">
              <w:t xml:space="preserve"> items in the Change Action plan</w:t>
            </w:r>
            <w:r w:rsidR="002C4748" w:rsidRPr="006D3060">
              <w:t>, including the need for</w:t>
            </w:r>
            <w:r w:rsidR="008D1914" w:rsidRPr="006D3060">
              <w:t xml:space="preserve"> fund-raising experts. </w:t>
            </w:r>
            <w:r w:rsidR="002C4748" w:rsidRPr="006D3060">
              <w:rPr>
                <w:b/>
              </w:rPr>
              <w:t>(</w:t>
            </w:r>
            <w:r w:rsidR="008D1914" w:rsidRPr="006D3060">
              <w:rPr>
                <w:b/>
              </w:rPr>
              <w:t>ED</w:t>
            </w:r>
            <w:r w:rsidR="002C4748" w:rsidRPr="006D3060">
              <w:rPr>
                <w:b/>
              </w:rPr>
              <w:t>)</w:t>
            </w:r>
            <w:r w:rsidR="008D1914" w:rsidRPr="006D3060">
              <w:t xml:space="preserve"> </w:t>
            </w:r>
            <w:r w:rsidR="002C4748" w:rsidRPr="006D3060">
              <w:t xml:space="preserve">noted that </w:t>
            </w:r>
            <w:r w:rsidR="008D1914" w:rsidRPr="006D3060">
              <w:t>Khazanah Nasional ha</w:t>
            </w:r>
            <w:r w:rsidR="002C4748" w:rsidRPr="006D3060">
              <w:t>ve</w:t>
            </w:r>
            <w:r w:rsidR="008D1914" w:rsidRPr="006D3060">
              <w:t xml:space="preserve"> offered</w:t>
            </w:r>
            <w:r w:rsidR="002C4748" w:rsidRPr="006D3060">
              <w:t xml:space="preserve"> staff for secondment. </w:t>
            </w:r>
            <w:r w:rsidR="002C4748" w:rsidRPr="006D3060">
              <w:rPr>
                <w:b/>
              </w:rPr>
              <w:t>(Naison M.)</w:t>
            </w:r>
            <w:r w:rsidR="008B2D46" w:rsidRPr="006D3060">
              <w:t xml:space="preserve"> </w:t>
            </w:r>
            <w:r w:rsidR="002C4748" w:rsidRPr="006D3060">
              <w:t xml:space="preserve">supported the suggestion to </w:t>
            </w:r>
            <w:r w:rsidR="008B2D46" w:rsidRPr="006D3060">
              <w:t>prioritise</w:t>
            </w:r>
            <w:r w:rsidR="002C4748" w:rsidRPr="006D3060">
              <w:t xml:space="preserve"> actions to ensure</w:t>
            </w:r>
            <w:r w:rsidR="008B2D46" w:rsidRPr="006D3060">
              <w:t xml:space="preserve"> impact and visib</w:t>
            </w:r>
            <w:r w:rsidR="002C4748" w:rsidRPr="006D3060">
              <w:t>ility</w:t>
            </w:r>
            <w:r w:rsidR="008B2D46" w:rsidRPr="006D3060">
              <w:t>.</w:t>
            </w:r>
          </w:p>
        </w:tc>
        <w:tc>
          <w:tcPr>
            <w:tcW w:w="3969" w:type="dxa"/>
          </w:tcPr>
          <w:p w14:paraId="5B63C7E6" w14:textId="77777777" w:rsidR="00EF1E99" w:rsidRPr="006D3060" w:rsidRDefault="00F36FAA" w:rsidP="009A3BE5">
            <w:pPr>
              <w:spacing w:before="120" w:after="120"/>
            </w:pPr>
            <w:r w:rsidRPr="006D3060">
              <w:rPr>
                <w:b/>
              </w:rPr>
              <w:lastRenderedPageBreak/>
              <w:t>1.</w:t>
            </w:r>
            <w:r w:rsidRPr="006D3060">
              <w:t xml:space="preserve"> SMB to submit data on staff not recruited through UNOPS/UNDP. </w:t>
            </w:r>
          </w:p>
          <w:p w14:paraId="1DF8A769" w14:textId="77777777" w:rsidR="00D57F99" w:rsidRPr="006D3060" w:rsidRDefault="006D3060" w:rsidP="009A3BE5">
            <w:pPr>
              <w:spacing w:before="120" w:after="120"/>
            </w:pPr>
            <w:r>
              <w:rPr>
                <w:b/>
              </w:rPr>
              <w:t>2</w:t>
            </w:r>
            <w:r w:rsidR="00D57F99" w:rsidRPr="006D3060">
              <w:rPr>
                <w:b/>
              </w:rPr>
              <w:t>.</w:t>
            </w:r>
            <w:r w:rsidR="00D57F99" w:rsidRPr="006D3060">
              <w:t xml:space="preserve"> Change TF to harmonise with </w:t>
            </w:r>
            <w:r w:rsidR="0057742F" w:rsidRPr="006D3060">
              <w:t xml:space="preserve">other ongoing </w:t>
            </w:r>
            <w:r w:rsidR="00D57F99" w:rsidRPr="006D3060">
              <w:t>change processes</w:t>
            </w:r>
            <w:r w:rsidR="0057742F" w:rsidRPr="006D3060">
              <w:t>/initiatives</w:t>
            </w:r>
            <w:r w:rsidR="00D57F99" w:rsidRPr="006D3060">
              <w:t xml:space="preserve"> in-house.</w:t>
            </w:r>
          </w:p>
          <w:p w14:paraId="673B2D5A" w14:textId="77777777" w:rsidR="008D1914" w:rsidRPr="006D3060" w:rsidRDefault="006D3060" w:rsidP="009A3BE5">
            <w:pPr>
              <w:spacing w:before="120" w:after="120"/>
            </w:pPr>
            <w:r>
              <w:rPr>
                <w:b/>
              </w:rPr>
              <w:lastRenderedPageBreak/>
              <w:t>3</w:t>
            </w:r>
            <w:r w:rsidR="008D1914" w:rsidRPr="006D3060">
              <w:rPr>
                <w:b/>
              </w:rPr>
              <w:t>.</w:t>
            </w:r>
            <w:r w:rsidR="008D1914" w:rsidRPr="006D3060">
              <w:t xml:space="preserve"> </w:t>
            </w:r>
            <w:r w:rsidR="002C4748" w:rsidRPr="006D3060">
              <w:t>Send</w:t>
            </w:r>
            <w:r w:rsidR="008D1914" w:rsidRPr="006D3060">
              <w:t xml:space="preserve"> a letter with combined needs to Khazanah Nasional. </w:t>
            </w:r>
          </w:p>
          <w:p w14:paraId="6447B71A" w14:textId="77777777" w:rsidR="008D1914" w:rsidRPr="006D3060" w:rsidRDefault="006D3060" w:rsidP="009A3BE5">
            <w:pPr>
              <w:spacing w:before="120" w:after="120"/>
            </w:pPr>
            <w:r>
              <w:rPr>
                <w:b/>
              </w:rPr>
              <w:t>4</w:t>
            </w:r>
            <w:r w:rsidR="008D1914" w:rsidRPr="006D3060">
              <w:rPr>
                <w:b/>
              </w:rPr>
              <w:t>.</w:t>
            </w:r>
            <w:r w:rsidR="008D1914" w:rsidRPr="006D3060">
              <w:t xml:space="preserve"> TF to work with Jane on fund raising dialogues.</w:t>
            </w:r>
          </w:p>
        </w:tc>
        <w:tc>
          <w:tcPr>
            <w:tcW w:w="2694" w:type="dxa"/>
          </w:tcPr>
          <w:p w14:paraId="2E483F62" w14:textId="77777777" w:rsidR="0057742F" w:rsidRPr="006D3060" w:rsidRDefault="0057742F" w:rsidP="00F624DD">
            <w:pPr>
              <w:tabs>
                <w:tab w:val="center" w:pos="1242"/>
              </w:tabs>
              <w:spacing w:before="120" w:after="120"/>
            </w:pPr>
            <w:r w:rsidRPr="006D3060">
              <w:rPr>
                <w:b/>
              </w:rPr>
              <w:lastRenderedPageBreak/>
              <w:t>1.</w:t>
            </w:r>
            <w:r w:rsidRPr="006D3060">
              <w:t xml:space="preserve"> SMB, 30 July 2018</w:t>
            </w:r>
          </w:p>
          <w:p w14:paraId="24B44B66" w14:textId="15F2A461" w:rsidR="0057742F" w:rsidRPr="006D3060" w:rsidRDefault="006D3060" w:rsidP="00F624DD">
            <w:pPr>
              <w:tabs>
                <w:tab w:val="center" w:pos="1242"/>
              </w:tabs>
              <w:spacing w:before="120" w:after="120"/>
            </w:pPr>
            <w:r>
              <w:rPr>
                <w:b/>
              </w:rPr>
              <w:t>2</w:t>
            </w:r>
            <w:r w:rsidR="0057742F" w:rsidRPr="006D3060">
              <w:rPr>
                <w:b/>
              </w:rPr>
              <w:t>.</w:t>
            </w:r>
            <w:r w:rsidR="0057742F" w:rsidRPr="006D3060">
              <w:t>, ongoing</w:t>
            </w:r>
          </w:p>
          <w:p w14:paraId="33BD55C2" w14:textId="73798AD7" w:rsidR="0057742F" w:rsidRPr="006D3060" w:rsidRDefault="006D3060" w:rsidP="00F624DD">
            <w:pPr>
              <w:tabs>
                <w:tab w:val="center" w:pos="1242"/>
              </w:tabs>
              <w:spacing w:before="120" w:after="120"/>
            </w:pPr>
            <w:r>
              <w:rPr>
                <w:b/>
              </w:rPr>
              <w:t>3</w:t>
            </w:r>
            <w:r w:rsidR="0057742F" w:rsidRPr="006D3060">
              <w:rPr>
                <w:b/>
              </w:rPr>
              <w:t>.</w:t>
            </w:r>
            <w:r w:rsidR="0057742F" w:rsidRPr="006D3060">
              <w:t xml:space="preserve"> . ongoing</w:t>
            </w:r>
          </w:p>
          <w:p w14:paraId="018FB4D1" w14:textId="059C2E5F" w:rsidR="0057742F" w:rsidRPr="006D3060" w:rsidRDefault="006D3060" w:rsidP="00F624DD">
            <w:pPr>
              <w:tabs>
                <w:tab w:val="center" w:pos="1242"/>
              </w:tabs>
              <w:spacing w:before="120" w:after="120"/>
            </w:pPr>
            <w:r>
              <w:rPr>
                <w:b/>
              </w:rPr>
              <w:t>4</w:t>
            </w:r>
            <w:r w:rsidR="0057742F" w:rsidRPr="006D3060">
              <w:rPr>
                <w:b/>
              </w:rPr>
              <w:t>.</w:t>
            </w:r>
            <w:r w:rsidR="0057742F" w:rsidRPr="006D3060">
              <w:t>, ongoing</w:t>
            </w:r>
          </w:p>
          <w:p w14:paraId="01187864" w14:textId="77777777" w:rsidR="0057742F" w:rsidRPr="006D3060" w:rsidRDefault="0057742F" w:rsidP="00F624DD">
            <w:pPr>
              <w:tabs>
                <w:tab w:val="center" w:pos="1242"/>
              </w:tabs>
              <w:spacing w:before="120" w:after="120"/>
            </w:pPr>
          </w:p>
        </w:tc>
      </w:tr>
      <w:tr w:rsidR="00F7023A" w:rsidRPr="006D3060" w14:paraId="0F825764" w14:textId="77777777" w:rsidTr="00F7023A">
        <w:tc>
          <w:tcPr>
            <w:tcW w:w="621" w:type="dxa"/>
          </w:tcPr>
          <w:p w14:paraId="05AC1F61" w14:textId="77777777" w:rsidR="002B4BFC" w:rsidRPr="006D3060" w:rsidRDefault="00B657C0" w:rsidP="00F624DD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lastRenderedPageBreak/>
              <w:t>3</w:t>
            </w:r>
          </w:p>
        </w:tc>
        <w:tc>
          <w:tcPr>
            <w:tcW w:w="2073" w:type="dxa"/>
          </w:tcPr>
          <w:p w14:paraId="373C9050" w14:textId="5959DACA" w:rsidR="002B4BFC" w:rsidRPr="006D3060" w:rsidRDefault="00C61F0A" w:rsidP="00F624DD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>Staff Engagement Survey – plan of action</w:t>
            </w:r>
            <w:r w:rsidR="00500509" w:rsidRPr="006D3060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14:paraId="29791482" w14:textId="77777777" w:rsidR="003559ED" w:rsidRPr="006D3060" w:rsidRDefault="00C61F0A" w:rsidP="00F624DD">
            <w:pPr>
              <w:spacing w:before="120" w:after="120"/>
            </w:pPr>
            <w:r w:rsidRPr="006D3060">
              <w:t>Initiated</w:t>
            </w:r>
            <w:r w:rsidR="0057742F" w:rsidRPr="006D3060">
              <w:t xml:space="preserve"> by SG upon taking office</w:t>
            </w:r>
            <w:r w:rsidRPr="006D3060">
              <w:t xml:space="preserve">. </w:t>
            </w:r>
            <w:r w:rsidR="000203DC" w:rsidRPr="006D3060">
              <w:t>Shared disaggregated results with entities. HR in</w:t>
            </w:r>
            <w:r w:rsidR="0057742F" w:rsidRPr="006D3060">
              <w:t xml:space="preserve"> respective</w:t>
            </w:r>
            <w:r w:rsidR="000203DC" w:rsidRPr="006D3060">
              <w:t xml:space="preserve"> entities were to take lead to develop an action plan </w:t>
            </w:r>
            <w:r w:rsidR="0057742F" w:rsidRPr="006D3060">
              <w:t xml:space="preserve">to respond to </w:t>
            </w:r>
            <w:r w:rsidR="000203DC" w:rsidRPr="006D3060">
              <w:t>results. This fits nicely with the Change Management TF. A</w:t>
            </w:r>
            <w:r w:rsidR="0057742F" w:rsidRPr="006D3060">
              <w:t>ction plan</w:t>
            </w:r>
            <w:r w:rsidR="000203DC" w:rsidRPr="006D3060">
              <w:t xml:space="preserve"> </w:t>
            </w:r>
            <w:r w:rsidR="0057742F" w:rsidRPr="006D3060">
              <w:t>highlights</w:t>
            </w:r>
            <w:r w:rsidR="000203DC" w:rsidRPr="006D3060">
              <w:t xml:space="preserve">: areas for improvement, timeline, </w:t>
            </w:r>
            <w:r w:rsidR="006D3060" w:rsidRPr="006D3060">
              <w:t>and focal</w:t>
            </w:r>
            <w:r w:rsidR="000203DC" w:rsidRPr="006D3060">
              <w:t xml:space="preserve"> point</w:t>
            </w:r>
            <w:r w:rsidR="0057742F" w:rsidRPr="006D3060">
              <w:t xml:space="preserve"> for each action</w:t>
            </w:r>
            <w:r w:rsidR="000203DC" w:rsidRPr="006D3060">
              <w:t xml:space="preserve">. </w:t>
            </w:r>
            <w:r w:rsidR="00BE79D9" w:rsidRPr="006D3060">
              <w:t>N</w:t>
            </w:r>
            <w:r w:rsidR="000203DC" w:rsidRPr="006D3060">
              <w:t>ext step</w:t>
            </w:r>
            <w:r w:rsidR="00BE79D9" w:rsidRPr="006D3060">
              <w:t>:</w:t>
            </w:r>
            <w:r w:rsidR="000203DC" w:rsidRPr="006D3060">
              <w:t xml:space="preserve"> translate change management </w:t>
            </w:r>
            <w:r w:rsidR="00BE79D9" w:rsidRPr="006D3060">
              <w:t xml:space="preserve">action and processes </w:t>
            </w:r>
            <w:r w:rsidR="000203DC" w:rsidRPr="006D3060">
              <w:t>into th</w:t>
            </w:r>
            <w:r w:rsidR="00BE79D9" w:rsidRPr="006D3060">
              <w:t>e Action Plan</w:t>
            </w:r>
            <w:r w:rsidR="000203DC" w:rsidRPr="006D3060">
              <w:t xml:space="preserve"> framework. </w:t>
            </w:r>
            <w:r w:rsidR="00BE79D9" w:rsidRPr="006D3060">
              <w:t xml:space="preserve">Initial deadline to submit Action Plan was </w:t>
            </w:r>
            <w:r w:rsidR="000203DC" w:rsidRPr="006D3060">
              <w:t xml:space="preserve">30 June, extension sought and granted. </w:t>
            </w:r>
          </w:p>
        </w:tc>
        <w:tc>
          <w:tcPr>
            <w:tcW w:w="3969" w:type="dxa"/>
          </w:tcPr>
          <w:p w14:paraId="25148D4E" w14:textId="77777777" w:rsidR="00BD74A4" w:rsidRPr="006D3060" w:rsidRDefault="0057742F" w:rsidP="00C61F0A">
            <w:pPr>
              <w:spacing w:before="120" w:after="120"/>
            </w:pPr>
            <w:r w:rsidRPr="006D3060">
              <w:rPr>
                <w:b/>
              </w:rPr>
              <w:t>1.</w:t>
            </w:r>
            <w:r w:rsidRPr="006D3060">
              <w:t xml:space="preserve"> Kazumi O. &amp; Haris P. to lead and complete Action Plan.</w:t>
            </w:r>
            <w:r w:rsidR="00D2566F" w:rsidRPr="006D3060">
              <w:t xml:space="preserve"> </w:t>
            </w:r>
          </w:p>
        </w:tc>
        <w:tc>
          <w:tcPr>
            <w:tcW w:w="2694" w:type="dxa"/>
          </w:tcPr>
          <w:p w14:paraId="207DA727" w14:textId="2618BDF2" w:rsidR="00A92B67" w:rsidRPr="006D3060" w:rsidRDefault="0057742F" w:rsidP="00C61F0A">
            <w:pPr>
              <w:spacing w:before="120" w:after="120"/>
            </w:pPr>
            <w:r w:rsidRPr="006D3060">
              <w:rPr>
                <w:b/>
              </w:rPr>
              <w:t>1.</w:t>
            </w:r>
            <w:r w:rsidRPr="006D3060">
              <w:t xml:space="preserve"> .</w:t>
            </w:r>
            <w:r w:rsidR="00BE79D9" w:rsidRPr="006D3060">
              <w:t>, 31 July 2018</w:t>
            </w:r>
            <w:r w:rsidR="006D3060">
              <w:t xml:space="preserve"> (c</w:t>
            </w:r>
            <w:r w:rsidR="006D3060" w:rsidRPr="006D3060">
              <w:t>ompleted</w:t>
            </w:r>
            <w:r w:rsidR="006D3060">
              <w:t>)</w:t>
            </w:r>
          </w:p>
        </w:tc>
      </w:tr>
      <w:tr w:rsidR="00E54F9B" w:rsidRPr="006D3060" w14:paraId="007E18F6" w14:textId="77777777" w:rsidTr="00F7023A">
        <w:tc>
          <w:tcPr>
            <w:tcW w:w="621" w:type="dxa"/>
          </w:tcPr>
          <w:p w14:paraId="165F511A" w14:textId="77777777" w:rsidR="00E54F9B" w:rsidRPr="006D3060" w:rsidRDefault="00E54F9B" w:rsidP="00F624DD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>4</w:t>
            </w:r>
          </w:p>
        </w:tc>
        <w:tc>
          <w:tcPr>
            <w:tcW w:w="2073" w:type="dxa"/>
          </w:tcPr>
          <w:p w14:paraId="61B707A5" w14:textId="5B590905" w:rsidR="00E54F9B" w:rsidRPr="006D3060" w:rsidRDefault="00E54F9B" w:rsidP="00F624DD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>Austerity measures</w:t>
            </w:r>
            <w:r w:rsidR="00131AA8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14:paraId="45AD1D6F" w14:textId="77777777" w:rsidR="00E54F9B" w:rsidRPr="006D3060" w:rsidRDefault="001E0363" w:rsidP="00F624DD">
            <w:pPr>
              <w:spacing w:before="120" w:after="120"/>
            </w:pPr>
            <w:r w:rsidRPr="006D3060">
              <w:rPr>
                <w:b/>
              </w:rPr>
              <w:t xml:space="preserve">ED </w:t>
            </w:r>
            <w:r w:rsidRPr="006D3060">
              <w:t xml:space="preserve">reviewed the austerity memo with SMB. </w:t>
            </w:r>
          </w:p>
          <w:p w14:paraId="78BFEDDF" w14:textId="5456BC2D" w:rsidR="00BF1614" w:rsidRPr="006D3060" w:rsidRDefault="00BF1614" w:rsidP="00F624DD">
            <w:pPr>
              <w:spacing w:before="120" w:after="120"/>
            </w:pPr>
            <w:r w:rsidRPr="006D3060">
              <w:t>Actions required/urged of programme managers: enhanced</w:t>
            </w:r>
            <w:r w:rsidR="00A50494" w:rsidRPr="006D3060">
              <w:t xml:space="preserve"> sustainable</w:t>
            </w:r>
            <w:r w:rsidRPr="006D3060">
              <w:t xml:space="preserve"> programme delivery </w:t>
            </w:r>
            <w:r w:rsidR="00A50494" w:rsidRPr="006D3060">
              <w:t xml:space="preserve">= </w:t>
            </w:r>
            <w:r w:rsidRPr="006D3060">
              <w:t>enhance</w:t>
            </w:r>
            <w:r w:rsidR="00A50494" w:rsidRPr="006D3060">
              <w:t>d</w:t>
            </w:r>
            <w:r w:rsidRPr="006D3060">
              <w:t xml:space="preserve"> revenue on overhead to programme support. Also need to do cost </w:t>
            </w:r>
            <w:r w:rsidR="006D3060" w:rsidRPr="006D3060">
              <w:t>recovery;</w:t>
            </w:r>
            <w:r w:rsidRPr="006D3060">
              <w:t xml:space="preserve"> </w:t>
            </w:r>
            <w:r w:rsidR="00A50494" w:rsidRPr="006D3060">
              <w:t xml:space="preserve">UNH is </w:t>
            </w:r>
            <w:r w:rsidRPr="006D3060">
              <w:t xml:space="preserve">starting late this year. This needs to be prioritised. Voluntary contributions are critical to the account. The austerity measures on table are demonstrating to MS a commitment of solvency of the programme and manage resources accordingly. </w:t>
            </w:r>
            <w:r w:rsidR="00E47ED5" w:rsidRPr="006D3060">
              <w:t xml:space="preserve">ED is going unprecedented ways to manage. MS </w:t>
            </w:r>
            <w:r w:rsidR="00A50494" w:rsidRPr="006D3060">
              <w:t xml:space="preserve">also </w:t>
            </w:r>
            <w:r w:rsidR="00E47ED5" w:rsidRPr="006D3060">
              <w:t xml:space="preserve">need to meet </w:t>
            </w:r>
            <w:r w:rsidR="00A50494" w:rsidRPr="006D3060">
              <w:t xml:space="preserve">the Organisation </w:t>
            </w:r>
            <w:r w:rsidR="00E47ED5" w:rsidRPr="006D3060">
              <w:t>half way.</w:t>
            </w:r>
          </w:p>
          <w:p w14:paraId="761571DB" w14:textId="77777777" w:rsidR="00E47ED5" w:rsidRPr="006D3060" w:rsidRDefault="009B6FF7" w:rsidP="00F624DD">
            <w:pPr>
              <w:spacing w:before="120" w:after="120"/>
            </w:pPr>
            <w:r w:rsidRPr="006D3060">
              <w:lastRenderedPageBreak/>
              <w:t>Programme managers are encouraged to recruit staff from HSPF</w:t>
            </w:r>
            <w:r w:rsidR="005607AA" w:rsidRPr="006D3060">
              <w:t xml:space="preserve">. </w:t>
            </w:r>
            <w:r w:rsidR="00BF4152" w:rsidRPr="006D3060">
              <w:t>There is also a perception that applying to project posts</w:t>
            </w:r>
            <w:r w:rsidR="005607AA" w:rsidRPr="006D3060">
              <w:t xml:space="preserve"> </w:t>
            </w:r>
            <w:r w:rsidR="00BF4152" w:rsidRPr="006D3060">
              <w:t>is un</w:t>
            </w:r>
            <w:r w:rsidR="005607AA" w:rsidRPr="006D3060">
              <w:t xml:space="preserve">sustainable. Mitigate human impact of this. </w:t>
            </w:r>
          </w:p>
          <w:p w14:paraId="2D33C47A" w14:textId="77777777" w:rsidR="00131AA8" w:rsidRDefault="005607AA" w:rsidP="00F624DD">
            <w:pPr>
              <w:spacing w:before="120" w:after="120"/>
            </w:pPr>
            <w:r w:rsidRPr="006D3060">
              <w:rPr>
                <w:b/>
              </w:rPr>
              <w:t>COMMENTS:</w:t>
            </w:r>
            <w:r w:rsidRPr="006D3060">
              <w:t xml:space="preserve"> </w:t>
            </w:r>
            <w:r w:rsidR="00084A68" w:rsidRPr="006D3060">
              <w:t xml:space="preserve"> </w:t>
            </w:r>
            <w:r w:rsidR="006F72A3" w:rsidRPr="006D3060">
              <w:t xml:space="preserve">As </w:t>
            </w:r>
            <w:r w:rsidR="00084A68" w:rsidRPr="006D3060">
              <w:t xml:space="preserve">ED will travel economy, managers should </w:t>
            </w:r>
            <w:r w:rsidR="0072230B" w:rsidRPr="006D3060">
              <w:t xml:space="preserve">strongly </w:t>
            </w:r>
            <w:r w:rsidR="00084A68" w:rsidRPr="006D3060">
              <w:t xml:space="preserve">encourage </w:t>
            </w:r>
            <w:r w:rsidR="0072230B" w:rsidRPr="006D3060">
              <w:t>the same</w:t>
            </w:r>
            <w:r w:rsidR="00084A68" w:rsidRPr="006D3060">
              <w:t>.</w:t>
            </w:r>
          </w:p>
          <w:p w14:paraId="01B2935F" w14:textId="77777777" w:rsidR="00131AA8" w:rsidRDefault="00131AA8" w:rsidP="00F624DD">
            <w:pPr>
              <w:spacing w:before="120" w:after="120"/>
            </w:pPr>
            <w:r>
              <w:t>A member s</w:t>
            </w:r>
            <w:r w:rsidR="0072230B" w:rsidRPr="006D3060">
              <w:t>uggested identifying w</w:t>
            </w:r>
            <w:r w:rsidR="00AE3AEA" w:rsidRPr="006D3060">
              <w:t>here UNH</w:t>
            </w:r>
            <w:r w:rsidR="0072230B" w:rsidRPr="006D3060">
              <w:t xml:space="preserve"> is </w:t>
            </w:r>
            <w:r w:rsidR="00AE3AEA" w:rsidRPr="006D3060">
              <w:t>bleeding</w:t>
            </w:r>
            <w:r w:rsidR="0072230B" w:rsidRPr="006D3060">
              <w:t xml:space="preserve"> and </w:t>
            </w:r>
            <w:r w:rsidR="00A45E17" w:rsidRPr="006D3060">
              <w:t xml:space="preserve">develop measures to mitigate accordingly. </w:t>
            </w:r>
            <w:r w:rsidR="00AE3AEA" w:rsidRPr="006D3060">
              <w:t xml:space="preserve">Are </w:t>
            </w:r>
            <w:r w:rsidR="00A45E17" w:rsidRPr="006D3060">
              <w:t xml:space="preserve">current and planned </w:t>
            </w:r>
            <w:r w:rsidR="00AE3AEA" w:rsidRPr="006D3060">
              <w:t xml:space="preserve">measures strong enough based on </w:t>
            </w:r>
            <w:r w:rsidR="006D3060" w:rsidRPr="006D3060">
              <w:t>on-going</w:t>
            </w:r>
            <w:r w:rsidR="00A45E17" w:rsidRPr="006D3060">
              <w:t xml:space="preserve"> </w:t>
            </w:r>
            <w:r w:rsidR="00AE3AEA" w:rsidRPr="006D3060">
              <w:t>assessment</w:t>
            </w:r>
            <w:r w:rsidR="00A45E17" w:rsidRPr="006D3060">
              <w:t xml:space="preserve">? </w:t>
            </w:r>
          </w:p>
          <w:p w14:paraId="2FBDC37D" w14:textId="2C2E4098" w:rsidR="00C32187" w:rsidRPr="006D3060" w:rsidRDefault="00131AA8" w:rsidP="00F624DD">
            <w:pPr>
              <w:spacing w:before="120" w:after="120"/>
            </w:pPr>
            <w:r>
              <w:t xml:space="preserve">A Member to </w:t>
            </w:r>
            <w:r w:rsidR="00645D37" w:rsidRPr="006D3060">
              <w:t>Conduct</w:t>
            </w:r>
            <w:r w:rsidR="00AE3AEA" w:rsidRPr="006D3060">
              <w:t xml:space="preserve"> a</w:t>
            </w:r>
            <w:r w:rsidR="00645D37" w:rsidRPr="006D3060">
              <w:t xml:space="preserve"> rapid</w:t>
            </w:r>
            <w:r w:rsidR="00AE3AEA" w:rsidRPr="006D3060">
              <w:t xml:space="preserve"> assessment of our current baseline travel (details on # travel, those on economy, business, frequency, </w:t>
            </w:r>
            <w:r w:rsidR="00645D37" w:rsidRPr="006D3060">
              <w:t>then</w:t>
            </w:r>
            <w:r w:rsidR="00AE3AEA" w:rsidRPr="006D3060">
              <w:t xml:space="preserve"> put forward travel improvement measurements</w:t>
            </w:r>
            <w:r w:rsidR="00645D37" w:rsidRPr="006D3060">
              <w:t xml:space="preserve">. </w:t>
            </w:r>
            <w:r w:rsidR="00CB55A1" w:rsidRPr="006D3060">
              <w:t>This will enhance optics with donors</w:t>
            </w:r>
            <w:r w:rsidR="00AE3AEA" w:rsidRPr="006D3060">
              <w:t xml:space="preserve"> – track it and show we have decreased). </w:t>
            </w:r>
            <w:r w:rsidR="00C73675" w:rsidRPr="006D3060">
              <w:t>R</w:t>
            </w:r>
            <w:r w:rsidR="00AE3AEA" w:rsidRPr="006D3060">
              <w:t xml:space="preserve">esource mobilisation, </w:t>
            </w:r>
            <w:r w:rsidR="00645D37" w:rsidRPr="006D3060">
              <w:t>reflecting four streams of income</w:t>
            </w:r>
            <w:r w:rsidR="00C73675" w:rsidRPr="006D3060">
              <w:t>,</w:t>
            </w:r>
            <w:r w:rsidR="00AE3AEA" w:rsidRPr="006D3060">
              <w:t xml:space="preserve"> </w:t>
            </w:r>
            <w:r w:rsidR="00C73675" w:rsidRPr="006D3060">
              <w:t>noting t</w:t>
            </w:r>
            <w:r w:rsidR="00AE3AEA" w:rsidRPr="006D3060">
              <w:t>he broad figure we are trying to achieve</w:t>
            </w:r>
            <w:r w:rsidR="00CB55A1" w:rsidRPr="006D3060">
              <w:t xml:space="preserve"> as this </w:t>
            </w:r>
            <w:r w:rsidR="00AE3AEA" w:rsidRPr="006D3060">
              <w:t>figure affects the length of the austerity measure</w:t>
            </w:r>
            <w:r w:rsidR="00C73675" w:rsidRPr="006D3060">
              <w:t xml:space="preserve">. Suggested a focal point </w:t>
            </w:r>
            <w:r w:rsidR="00AE3AEA" w:rsidRPr="006D3060">
              <w:t>for fund raising.</w:t>
            </w:r>
            <w:r w:rsidR="00CB55A1" w:rsidRPr="006D3060">
              <w:t xml:space="preserve"> </w:t>
            </w:r>
          </w:p>
          <w:p w14:paraId="1E015FAA" w14:textId="22B01DD3" w:rsidR="006D59AF" w:rsidRPr="006D3060" w:rsidRDefault="00131AA8" w:rsidP="00C32187">
            <w:pPr>
              <w:spacing w:before="120" w:after="120"/>
              <w:rPr>
                <w:color w:val="000000" w:themeColor="text1"/>
              </w:rPr>
            </w:pPr>
            <w:r>
              <w:rPr>
                <w:b/>
              </w:rPr>
              <w:t>A member</w:t>
            </w:r>
            <w:r w:rsidR="00CB55A1" w:rsidRPr="006D3060">
              <w:t xml:space="preserve"> Provided a b</w:t>
            </w:r>
            <w:r w:rsidR="00AE3AEA" w:rsidRPr="006D3060">
              <w:t xml:space="preserve">reakdown of HFU. </w:t>
            </w:r>
            <w:r w:rsidR="00C362DC" w:rsidRPr="006D3060">
              <w:t>Noted that t</w:t>
            </w:r>
            <w:r w:rsidR="00AE3AEA" w:rsidRPr="006D3060">
              <w:t xml:space="preserve">oday’s memo, austerity, initial and immediate. </w:t>
            </w:r>
            <w:r w:rsidR="00C362DC" w:rsidRPr="006D3060">
              <w:t>Currently, UNH is occupying more space than needed, according to guidelines, therefore paying more rent that necessary</w:t>
            </w:r>
            <w:r w:rsidR="00AE3AEA" w:rsidRPr="006D3060">
              <w:t>.</w:t>
            </w:r>
            <w:r w:rsidR="00C362DC" w:rsidRPr="006D3060">
              <w:t xml:space="preserve"> Need to exhaust all cost-cutting measures prior to further steps are taken, i.e. cost saved on rent could cover certain staff costs that would have to be curtailed</w:t>
            </w:r>
            <w:r w:rsidR="00924829" w:rsidRPr="006D3060">
              <w:t xml:space="preserve">. ED inherited </w:t>
            </w:r>
            <w:r w:rsidR="00C32187" w:rsidRPr="006D3060">
              <w:t xml:space="preserve">an Organisation with challenges, </w:t>
            </w:r>
            <w:r w:rsidR="00924829" w:rsidRPr="006D3060">
              <w:t xml:space="preserve">important to demonstrate a united front. </w:t>
            </w:r>
            <w:r w:rsidR="00C32187" w:rsidRPr="006D3060">
              <w:t xml:space="preserve">Opportunity to </w:t>
            </w:r>
            <w:r w:rsidR="00924829" w:rsidRPr="006D3060">
              <w:t xml:space="preserve">turn austerity </w:t>
            </w:r>
            <w:r w:rsidR="00063D01" w:rsidRPr="006D3060">
              <w:t>into an</w:t>
            </w:r>
            <w:r w:rsidR="00924829" w:rsidRPr="006D3060">
              <w:t xml:space="preserve"> opportunity. </w:t>
            </w:r>
            <w:r w:rsidR="00063D01" w:rsidRPr="006D3060">
              <w:t>By</w:t>
            </w:r>
            <w:r w:rsidR="00924829" w:rsidRPr="006D3060">
              <w:t xml:space="preserve"> demonstrating fiscal prudence, </w:t>
            </w:r>
            <w:r w:rsidR="00063D01" w:rsidRPr="006D3060">
              <w:t xml:space="preserve">UNH </w:t>
            </w:r>
            <w:r w:rsidR="00924829" w:rsidRPr="006D3060">
              <w:t>will demonstrate attractiveness to donors</w:t>
            </w:r>
            <w:r w:rsidR="00063D01" w:rsidRPr="006D3060">
              <w:t xml:space="preserve"> in light of further UN overall budget cuts</w:t>
            </w:r>
            <w:r w:rsidR="00924829" w:rsidRPr="006D3060">
              <w:t xml:space="preserve">. </w:t>
            </w:r>
          </w:p>
          <w:p w14:paraId="35BFBAA6" w14:textId="33619786" w:rsidR="00A31BCE" w:rsidRPr="006D3060" w:rsidRDefault="00063D01" w:rsidP="00F624DD">
            <w:pPr>
              <w:spacing w:before="120" w:after="120"/>
              <w:rPr>
                <w:color w:val="000000" w:themeColor="text1"/>
              </w:rPr>
            </w:pPr>
            <w:r w:rsidRPr="006D3060">
              <w:rPr>
                <w:color w:val="000000" w:themeColor="text1"/>
              </w:rPr>
              <w:t>.</w:t>
            </w:r>
            <w:r w:rsidR="00A31BCE" w:rsidRPr="006D3060">
              <w:rPr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14:paraId="17684D7F" w14:textId="77777777" w:rsidR="00E54F9B" w:rsidRPr="006D3060" w:rsidRDefault="00E54F9B" w:rsidP="00C61F0A">
            <w:pPr>
              <w:spacing w:before="120" w:after="120"/>
            </w:pPr>
          </w:p>
        </w:tc>
        <w:tc>
          <w:tcPr>
            <w:tcW w:w="2694" w:type="dxa"/>
          </w:tcPr>
          <w:p w14:paraId="1771B6CA" w14:textId="77777777" w:rsidR="00E54F9B" w:rsidRPr="006D3060" w:rsidRDefault="00E54F9B" w:rsidP="00C61F0A">
            <w:pPr>
              <w:spacing w:before="120" w:after="120"/>
            </w:pPr>
          </w:p>
        </w:tc>
      </w:tr>
      <w:tr w:rsidR="00067DE0" w:rsidRPr="006D3060" w14:paraId="3C8C885B" w14:textId="77777777" w:rsidTr="00F7023A">
        <w:tc>
          <w:tcPr>
            <w:tcW w:w="621" w:type="dxa"/>
          </w:tcPr>
          <w:p w14:paraId="009043FA" w14:textId="77777777" w:rsidR="00067DE0" w:rsidRPr="006D3060" w:rsidRDefault="00E54F9B" w:rsidP="00F624DD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>5</w:t>
            </w:r>
          </w:p>
        </w:tc>
        <w:tc>
          <w:tcPr>
            <w:tcW w:w="2073" w:type="dxa"/>
          </w:tcPr>
          <w:p w14:paraId="398C808C" w14:textId="77777777" w:rsidR="00067DE0" w:rsidRPr="006D3060" w:rsidRDefault="00067DE0" w:rsidP="00F624DD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>AOB</w:t>
            </w:r>
          </w:p>
          <w:p w14:paraId="5E2C5F12" w14:textId="77777777" w:rsidR="00500509" w:rsidRPr="006D3060" w:rsidRDefault="00500509" w:rsidP="00F624DD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lastRenderedPageBreak/>
              <w:t>System-wide strategy on Urban (DED)</w:t>
            </w:r>
          </w:p>
          <w:p w14:paraId="67482FD2" w14:textId="77777777" w:rsidR="00F6077D" w:rsidRPr="006D3060" w:rsidRDefault="00F6077D" w:rsidP="00F624DD">
            <w:pPr>
              <w:spacing w:before="120" w:after="120"/>
              <w:rPr>
                <w:b/>
              </w:rPr>
            </w:pPr>
          </w:p>
          <w:p w14:paraId="575F75E9" w14:textId="77777777" w:rsidR="00067DE0" w:rsidRPr="006D3060" w:rsidRDefault="00067DE0" w:rsidP="00F624DD">
            <w:pPr>
              <w:spacing w:before="120" w:after="120"/>
              <w:rPr>
                <w:b/>
              </w:rPr>
            </w:pPr>
          </w:p>
        </w:tc>
        <w:tc>
          <w:tcPr>
            <w:tcW w:w="5528" w:type="dxa"/>
          </w:tcPr>
          <w:p w14:paraId="043B57B2" w14:textId="77777777" w:rsidR="00063D01" w:rsidRPr="006D3060" w:rsidRDefault="00A31BCE" w:rsidP="00C61F0A">
            <w:pPr>
              <w:spacing w:before="120" w:after="120"/>
            </w:pPr>
            <w:r w:rsidRPr="006D3060">
              <w:rPr>
                <w:b/>
              </w:rPr>
              <w:lastRenderedPageBreak/>
              <w:t xml:space="preserve">1. </w:t>
            </w:r>
            <w:r w:rsidR="003A4CAA" w:rsidRPr="006D3060">
              <w:t>Following SMG on 6 June.</w:t>
            </w:r>
            <w:r w:rsidR="00845F4A" w:rsidRPr="006D3060">
              <w:t xml:space="preserve"> DED</w:t>
            </w:r>
            <w:r w:rsidR="003A4CAA" w:rsidRPr="006D3060">
              <w:t xml:space="preserve"> </w:t>
            </w:r>
            <w:r w:rsidR="00845F4A" w:rsidRPr="006D3060">
              <w:t>p</w:t>
            </w:r>
            <w:r w:rsidR="003A4CAA" w:rsidRPr="006D3060">
              <w:t xml:space="preserve">resented flow chart table on how UNH can play the focal point role on urban as </w:t>
            </w:r>
            <w:r w:rsidR="003A4CAA" w:rsidRPr="006D3060">
              <w:lastRenderedPageBreak/>
              <w:t xml:space="preserve">per instructed by </w:t>
            </w:r>
            <w:r w:rsidR="00063D01" w:rsidRPr="006D3060">
              <w:t xml:space="preserve">the </w:t>
            </w:r>
            <w:r w:rsidR="003A4CAA" w:rsidRPr="006D3060">
              <w:t>SG. Flow char</w:t>
            </w:r>
            <w:r w:rsidR="00063D01" w:rsidRPr="006D3060">
              <w:t>t</w:t>
            </w:r>
            <w:r w:rsidR="003A4CAA" w:rsidRPr="006D3060">
              <w:t xml:space="preserve"> demonstrates how to do this in four work-streams. </w:t>
            </w:r>
            <w:r w:rsidR="00063D01" w:rsidRPr="006D3060">
              <w:t>It is an opportunity to</w:t>
            </w:r>
            <w:r w:rsidR="00845F4A" w:rsidRPr="006D3060">
              <w:t xml:space="preserve"> strategically align UNH in the urban world</w:t>
            </w:r>
            <w:r w:rsidR="00063D01" w:rsidRPr="006D3060">
              <w:t xml:space="preserve"> and found a</w:t>
            </w:r>
            <w:r w:rsidR="00845F4A" w:rsidRPr="006D3060">
              <w:t xml:space="preserve"> Principals’ Group on Urban. Need to clarify steps to present this potentially a</w:t>
            </w:r>
            <w:r w:rsidR="00063D01" w:rsidRPr="006D3060">
              <w:t>t the next</w:t>
            </w:r>
            <w:r w:rsidR="00845F4A" w:rsidRPr="006D3060">
              <w:t xml:space="preserve"> HLCP and CEB. </w:t>
            </w:r>
            <w:r w:rsidR="00063D01" w:rsidRPr="006D3060">
              <w:t>DED encouraged the SMB to be active, demonstrate</w:t>
            </w:r>
            <w:r w:rsidR="00845F4A" w:rsidRPr="006D3060">
              <w:t xml:space="preserve"> relevance of urbanisation</w:t>
            </w:r>
            <w:r w:rsidR="00063D01" w:rsidRPr="006D3060">
              <w:t xml:space="preserve"> and added value of UNH in the</w:t>
            </w:r>
            <w:r w:rsidR="00845F4A" w:rsidRPr="006D3060">
              <w:t xml:space="preserve"> </w:t>
            </w:r>
            <w:r w:rsidR="00063D01" w:rsidRPr="006D3060">
              <w:t>context of the 2030 Agenda for Sustainable Development and related 17 SDGs</w:t>
            </w:r>
            <w:r w:rsidR="00845F4A" w:rsidRPr="006D3060">
              <w:t>.</w:t>
            </w:r>
            <w:r w:rsidR="00EB1728" w:rsidRPr="006D3060">
              <w:t xml:space="preserve"> </w:t>
            </w:r>
          </w:p>
          <w:p w14:paraId="77848C15" w14:textId="77777777" w:rsidR="00131AA8" w:rsidRDefault="00063D01" w:rsidP="004479D9">
            <w:pPr>
              <w:spacing w:before="120" w:after="120"/>
              <w:rPr>
                <w:b/>
              </w:rPr>
            </w:pPr>
            <w:r w:rsidRPr="006D3060">
              <w:rPr>
                <w:b/>
              </w:rPr>
              <w:t xml:space="preserve">COMMENTS: </w:t>
            </w:r>
            <w:r w:rsidR="00131AA8">
              <w:rPr>
                <w:b/>
              </w:rPr>
              <w:t xml:space="preserve">A member </w:t>
            </w:r>
            <w:r w:rsidRPr="006D3060">
              <w:t xml:space="preserve">Encouraged using the next UN resolution on UNH to reflect funding and the various existing Trust Funds/Funds as </w:t>
            </w:r>
            <w:r w:rsidR="00EB1728" w:rsidRPr="006D3060">
              <w:t>vehicles for fund raising.</w:t>
            </w:r>
            <w:r w:rsidRPr="006D3060">
              <w:t xml:space="preserve"> Further noted the need to reflect key UNH platforms in the strategy/flowchart presented, which present opportunities for partnership, i.e. GLTN, GWOPA, Medellin Platform, GAFUC etc. </w:t>
            </w:r>
          </w:p>
          <w:p w14:paraId="25C8EC6F" w14:textId="77777777" w:rsidR="00131AA8" w:rsidRDefault="00131AA8" w:rsidP="004479D9">
            <w:pPr>
              <w:spacing w:before="120" w:after="120"/>
            </w:pPr>
            <w:r>
              <w:rPr>
                <w:b/>
              </w:rPr>
              <w:t xml:space="preserve">A member </w:t>
            </w:r>
            <w:r w:rsidR="00063D01" w:rsidRPr="006D3060">
              <w:t>Noted the need to identify d</w:t>
            </w:r>
            <w:r w:rsidR="00913676" w:rsidRPr="006D3060">
              <w:t>ata</w:t>
            </w:r>
            <w:r w:rsidR="00063D01" w:rsidRPr="006D3060">
              <w:t>, i.e. costing local infrastructure, as</w:t>
            </w:r>
            <w:r w:rsidR="00913676" w:rsidRPr="006D3060">
              <w:t xml:space="preserve"> </w:t>
            </w:r>
            <w:r w:rsidR="00063D01" w:rsidRPr="006D3060">
              <w:t xml:space="preserve">a </w:t>
            </w:r>
            <w:r w:rsidR="00913676" w:rsidRPr="006D3060">
              <w:t>priority</w:t>
            </w:r>
            <w:r w:rsidR="00063D01" w:rsidRPr="006D3060">
              <w:t xml:space="preserve"> to enable realistic discussions/planning on financing the SDGs and the NUA. </w:t>
            </w:r>
            <w:r w:rsidR="00063D01" w:rsidRPr="006D3060">
              <w:rPr>
                <w:b/>
              </w:rPr>
              <w:t xml:space="preserve">(NAME) </w:t>
            </w:r>
            <w:r w:rsidR="00A77ED7" w:rsidRPr="006D3060">
              <w:t>Noted that a y</w:t>
            </w:r>
            <w:r w:rsidR="00913676" w:rsidRPr="006D3060">
              <w:t>ear ago</w:t>
            </w:r>
            <w:r w:rsidR="00A77ED7" w:rsidRPr="006D3060">
              <w:t>, the</w:t>
            </w:r>
            <w:r w:rsidR="00913676" w:rsidRPr="006D3060">
              <w:t xml:space="preserve"> SG instituted a panel on how to p</w:t>
            </w:r>
            <w:r w:rsidR="00A77ED7" w:rsidRPr="006D3060">
              <w:t>osition</w:t>
            </w:r>
            <w:r w:rsidR="00913676" w:rsidRPr="006D3060">
              <w:t xml:space="preserve"> UNH</w:t>
            </w:r>
            <w:r w:rsidR="00A77ED7" w:rsidRPr="006D3060">
              <w:t>, the panel consulted</w:t>
            </w:r>
            <w:r w:rsidR="00913676" w:rsidRPr="006D3060">
              <w:t xml:space="preserve"> many MS</w:t>
            </w:r>
            <w:r w:rsidR="00A77ED7" w:rsidRPr="006D3060">
              <w:t xml:space="preserve">, with a general </w:t>
            </w:r>
            <w:r w:rsidR="00913676" w:rsidRPr="006D3060">
              <w:t xml:space="preserve">red thread </w:t>
            </w:r>
            <w:r w:rsidR="00A77ED7" w:rsidRPr="006D3060">
              <w:t>noting that</w:t>
            </w:r>
            <w:r w:rsidR="00913676" w:rsidRPr="006D3060">
              <w:t xml:space="preserve"> UNH should be more normative. </w:t>
            </w:r>
            <w:r w:rsidR="00A77ED7" w:rsidRPr="006D3060">
              <w:t xml:space="preserve">Risk of </w:t>
            </w:r>
            <w:r w:rsidR="004479D9" w:rsidRPr="006D3060">
              <w:t>promoting a</w:t>
            </w:r>
            <w:r w:rsidR="00A77ED7" w:rsidRPr="006D3060">
              <w:t xml:space="preserve"> </w:t>
            </w:r>
            <w:r w:rsidR="004479D9" w:rsidRPr="006D3060">
              <w:t xml:space="preserve">different </w:t>
            </w:r>
            <w:r w:rsidR="00A77ED7" w:rsidRPr="006D3060">
              <w:t xml:space="preserve">UNH, following the </w:t>
            </w:r>
            <w:r w:rsidR="006D3060" w:rsidRPr="006D3060">
              <w:t>SMG, which</w:t>
            </w:r>
            <w:r w:rsidR="00A77ED7" w:rsidRPr="006D3060">
              <w:t xml:space="preserve"> MS will not accept – as they did in response to the proposal of a UN Urban</w:t>
            </w:r>
          </w:p>
          <w:p w14:paraId="6264FD40" w14:textId="77777777" w:rsidR="00131AA8" w:rsidRDefault="00131AA8" w:rsidP="004479D9">
            <w:pPr>
              <w:spacing w:before="120" w:after="120"/>
            </w:pPr>
            <w:r>
              <w:t xml:space="preserve">A member </w:t>
            </w:r>
            <w:r w:rsidR="004479D9" w:rsidRPr="006D3060">
              <w:t>Suggested including</w:t>
            </w:r>
            <w:r w:rsidR="007F0230" w:rsidRPr="006D3060">
              <w:t xml:space="preserve"> </w:t>
            </w:r>
            <w:r w:rsidR="004479D9" w:rsidRPr="006D3060">
              <w:t>in the mapping the i</w:t>
            </w:r>
            <w:r w:rsidR="007F0230" w:rsidRPr="006D3060">
              <w:t>nvolvement of regional commissions</w:t>
            </w:r>
            <w:r w:rsidR="004479D9" w:rsidRPr="006D3060">
              <w:t>,</w:t>
            </w:r>
            <w:r w:rsidR="007F0230" w:rsidRPr="006D3060">
              <w:t xml:space="preserve"> </w:t>
            </w:r>
            <w:r w:rsidR="004479D9" w:rsidRPr="006D3060">
              <w:t>s</w:t>
            </w:r>
            <w:r w:rsidR="007F0230" w:rsidRPr="006D3060">
              <w:t>cience and use of ICT for development</w:t>
            </w:r>
            <w:r w:rsidR="004479D9" w:rsidRPr="006D3060">
              <w:t xml:space="preserve">, best practices and awards as well as focusing on UNH as a </w:t>
            </w:r>
            <w:r w:rsidR="00BB5477" w:rsidRPr="006D3060">
              <w:t xml:space="preserve">Centre </w:t>
            </w:r>
            <w:r w:rsidR="004479D9" w:rsidRPr="006D3060">
              <w:t>of</w:t>
            </w:r>
            <w:r w:rsidR="00BB5477" w:rsidRPr="006D3060">
              <w:t xml:space="preserve"> Excellence</w:t>
            </w:r>
            <w:r w:rsidR="004479D9" w:rsidRPr="006D3060">
              <w:t xml:space="preserve"> – key for fundraising.</w:t>
            </w:r>
            <w:r w:rsidR="005D5E01" w:rsidRPr="006D3060">
              <w:t xml:space="preserve"> </w:t>
            </w:r>
          </w:p>
          <w:p w14:paraId="739FF84A" w14:textId="71C059F6" w:rsidR="00067DE0" w:rsidRPr="006D3060" w:rsidRDefault="00131AA8" w:rsidP="004479D9">
            <w:pPr>
              <w:spacing w:before="120" w:after="120"/>
            </w:pPr>
            <w:r>
              <w:t>A member suggested n</w:t>
            </w:r>
            <w:r w:rsidR="005D5E01" w:rsidRPr="006D3060">
              <w:t>eed to</w:t>
            </w:r>
            <w:r w:rsidR="005D5E01" w:rsidRPr="006D3060">
              <w:rPr>
                <w:b/>
              </w:rPr>
              <w:t xml:space="preserve"> </w:t>
            </w:r>
            <w:r w:rsidR="005D5E01" w:rsidRPr="006D3060">
              <w:t>ensure complementarity with the Strategic Plan.</w:t>
            </w:r>
          </w:p>
          <w:p w14:paraId="5B052AAA" w14:textId="067D6471" w:rsidR="00753AB0" w:rsidRPr="006D3060" w:rsidRDefault="00A77ED7" w:rsidP="00C61F0A">
            <w:pPr>
              <w:spacing w:before="120" w:after="120"/>
            </w:pPr>
            <w:r w:rsidRPr="006D3060">
              <w:rPr>
                <w:b/>
              </w:rPr>
              <w:t>2.</w:t>
            </w:r>
            <w:r w:rsidRPr="006D3060">
              <w:t xml:space="preserve"> </w:t>
            </w:r>
            <w:r w:rsidR="005D5E01" w:rsidRPr="006D3060">
              <w:t>Mandatory mission reporting in line with ED’s memo of 20 July</w:t>
            </w:r>
            <w:r w:rsidR="00D32612">
              <w:t>, all personnel to comply.</w:t>
            </w:r>
            <w:r w:rsidR="00F34F70">
              <w:t xml:space="preserve"> An online electronic </w:t>
            </w:r>
            <w:r w:rsidR="00F34F70">
              <w:lastRenderedPageBreak/>
              <w:t>version will be forthcoming and will replace the use of the word template.</w:t>
            </w:r>
          </w:p>
        </w:tc>
        <w:tc>
          <w:tcPr>
            <w:tcW w:w="3969" w:type="dxa"/>
          </w:tcPr>
          <w:p w14:paraId="7042984B" w14:textId="77777777" w:rsidR="005D5E01" w:rsidRPr="006D3060" w:rsidRDefault="005D5E01" w:rsidP="00F624DD">
            <w:pPr>
              <w:spacing w:before="120" w:after="120"/>
            </w:pPr>
            <w:r w:rsidRPr="006D3060">
              <w:rPr>
                <w:b/>
              </w:rPr>
              <w:lastRenderedPageBreak/>
              <w:t xml:space="preserve">1. </w:t>
            </w:r>
            <w:r w:rsidR="003A4CAA" w:rsidRPr="006D3060">
              <w:t xml:space="preserve">Develop a strategy paper on how to </w:t>
            </w:r>
            <w:r w:rsidR="006D3060" w:rsidRPr="006D3060">
              <w:t>operationalize</w:t>
            </w:r>
            <w:r w:rsidRPr="006D3060">
              <w:t xml:space="preserve"> flow-chart. </w:t>
            </w:r>
          </w:p>
          <w:p w14:paraId="45D95B99" w14:textId="77777777" w:rsidR="00067DE0" w:rsidRPr="006D3060" w:rsidRDefault="00D32612" w:rsidP="00F624DD">
            <w:pPr>
              <w:spacing w:before="120" w:after="120"/>
            </w:pPr>
            <w:r>
              <w:rPr>
                <w:b/>
              </w:rPr>
              <w:lastRenderedPageBreak/>
              <w:t>1</w:t>
            </w:r>
            <w:r w:rsidR="005D5E01" w:rsidRPr="006D3060">
              <w:rPr>
                <w:b/>
              </w:rPr>
              <w:t>.</w:t>
            </w:r>
            <w:r w:rsidR="005D5E01" w:rsidRPr="006D3060">
              <w:t xml:space="preserve"> SMB to provide any further comments to DED via e-mail.</w:t>
            </w:r>
            <w:r w:rsidR="003A4CAA" w:rsidRPr="006D3060">
              <w:t xml:space="preserve"> </w:t>
            </w:r>
          </w:p>
          <w:p w14:paraId="1382FB1A" w14:textId="77777777" w:rsidR="00532D49" w:rsidRDefault="00D32612" w:rsidP="00F624DD">
            <w:pPr>
              <w:spacing w:before="120" w:after="120"/>
            </w:pPr>
            <w:r>
              <w:rPr>
                <w:b/>
              </w:rPr>
              <w:t>1</w:t>
            </w:r>
            <w:r w:rsidR="005D5E01" w:rsidRPr="006D3060">
              <w:rPr>
                <w:b/>
              </w:rPr>
              <w:t xml:space="preserve">. </w:t>
            </w:r>
            <w:r w:rsidR="005D5E01" w:rsidRPr="006D3060">
              <w:t>Regional Directors to reflect and provide inputs to DED on how to strategically enhance UNH presence in the regions.</w:t>
            </w:r>
            <w:r w:rsidR="00532D49" w:rsidRPr="006D3060">
              <w:t xml:space="preserve"> </w:t>
            </w:r>
          </w:p>
          <w:p w14:paraId="3E9BDB38" w14:textId="22E7C2D4" w:rsidR="00F34F70" w:rsidRPr="006D3060" w:rsidRDefault="00F34F70" w:rsidP="00F624DD">
            <w:pPr>
              <w:spacing w:before="120" w:after="120"/>
            </w:pPr>
            <w:r>
              <w:t>2. All personnel to comply.</w:t>
            </w:r>
          </w:p>
        </w:tc>
        <w:tc>
          <w:tcPr>
            <w:tcW w:w="2694" w:type="dxa"/>
          </w:tcPr>
          <w:p w14:paraId="7C35B6A0" w14:textId="77777777" w:rsidR="00067DE0" w:rsidRPr="006D3060" w:rsidRDefault="005D5E01" w:rsidP="00F624DD">
            <w:pPr>
              <w:spacing w:before="120" w:after="120"/>
            </w:pPr>
            <w:r w:rsidRPr="006D3060">
              <w:rPr>
                <w:b/>
              </w:rPr>
              <w:lastRenderedPageBreak/>
              <w:t xml:space="preserve">1. </w:t>
            </w:r>
            <w:r w:rsidRPr="006D3060">
              <w:t>DED, on</w:t>
            </w:r>
            <w:r w:rsidR="006D3060">
              <w:t xml:space="preserve"> </w:t>
            </w:r>
            <w:r w:rsidRPr="006D3060">
              <w:t>going</w:t>
            </w:r>
          </w:p>
          <w:p w14:paraId="33AC1CAD" w14:textId="77777777" w:rsidR="005D5E01" w:rsidRPr="006D3060" w:rsidRDefault="00D32612" w:rsidP="00F624DD">
            <w:pPr>
              <w:spacing w:before="120" w:after="120"/>
            </w:pPr>
            <w:r>
              <w:rPr>
                <w:b/>
              </w:rPr>
              <w:t>1</w:t>
            </w:r>
            <w:r w:rsidR="005D5E01" w:rsidRPr="006D3060">
              <w:rPr>
                <w:b/>
              </w:rPr>
              <w:t xml:space="preserve">. </w:t>
            </w:r>
            <w:r w:rsidR="005D5E01" w:rsidRPr="006D3060">
              <w:t>SMB, 17 August</w:t>
            </w:r>
          </w:p>
          <w:p w14:paraId="302A0334" w14:textId="77777777" w:rsidR="005D5E01" w:rsidRDefault="00D32612" w:rsidP="00F624DD">
            <w:pPr>
              <w:spacing w:before="120" w:after="120"/>
            </w:pPr>
            <w:r>
              <w:rPr>
                <w:b/>
              </w:rPr>
              <w:lastRenderedPageBreak/>
              <w:t>1</w:t>
            </w:r>
            <w:r w:rsidR="005D5E01" w:rsidRPr="006D3060">
              <w:rPr>
                <w:b/>
              </w:rPr>
              <w:t>.</w:t>
            </w:r>
            <w:r w:rsidR="005D5E01" w:rsidRPr="006D3060">
              <w:t xml:space="preserve"> Regional Directors, 17 August</w:t>
            </w:r>
          </w:p>
          <w:p w14:paraId="6CD4D8C2" w14:textId="56C9A09B" w:rsidR="00F34F70" w:rsidRPr="006D3060" w:rsidRDefault="00F34F70" w:rsidP="00F624DD">
            <w:pPr>
              <w:spacing w:before="120" w:after="120"/>
            </w:pPr>
            <w:r>
              <w:t xml:space="preserve">2. All, immediately. </w:t>
            </w:r>
          </w:p>
        </w:tc>
      </w:tr>
    </w:tbl>
    <w:p w14:paraId="7657EAE4" w14:textId="77777777" w:rsidR="00BD792A" w:rsidRPr="006D3060" w:rsidRDefault="00BD792A" w:rsidP="004B317E">
      <w:pPr>
        <w:spacing w:after="0" w:line="240" w:lineRule="auto"/>
        <w:rPr>
          <w:b/>
        </w:rPr>
      </w:pPr>
    </w:p>
    <w:p w14:paraId="25DB12E2" w14:textId="77777777" w:rsidR="00F57941" w:rsidRPr="006D3060" w:rsidRDefault="00F57941" w:rsidP="004B317E">
      <w:pPr>
        <w:spacing w:after="0" w:line="240" w:lineRule="auto"/>
        <w:rPr>
          <w:b/>
        </w:rPr>
      </w:pPr>
    </w:p>
    <w:sectPr w:rsidR="00F57941" w:rsidRPr="006D3060" w:rsidSect="004B3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3652" w14:textId="77777777" w:rsidR="00AF2866" w:rsidRDefault="00AF2866" w:rsidP="00CC76CF">
      <w:pPr>
        <w:spacing w:after="0" w:line="240" w:lineRule="auto"/>
      </w:pPr>
      <w:r>
        <w:separator/>
      </w:r>
    </w:p>
  </w:endnote>
  <w:endnote w:type="continuationSeparator" w:id="0">
    <w:p w14:paraId="01B40294" w14:textId="77777777" w:rsidR="00AF2866" w:rsidRDefault="00AF2866" w:rsidP="00CC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FCD0" w14:textId="77777777" w:rsidR="006D7125" w:rsidRDefault="006D7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DFA9" w14:textId="77777777" w:rsidR="006D7125" w:rsidRDefault="006D7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08C5" w14:textId="77777777" w:rsidR="006D7125" w:rsidRDefault="006D7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F889B" w14:textId="77777777" w:rsidR="00AF2866" w:rsidRDefault="00AF2866" w:rsidP="00CC76CF">
      <w:pPr>
        <w:spacing w:after="0" w:line="240" w:lineRule="auto"/>
      </w:pPr>
      <w:r>
        <w:separator/>
      </w:r>
    </w:p>
  </w:footnote>
  <w:footnote w:type="continuationSeparator" w:id="0">
    <w:p w14:paraId="6F5679A2" w14:textId="77777777" w:rsidR="00AF2866" w:rsidRDefault="00AF2866" w:rsidP="00CC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FB22" w14:textId="77777777" w:rsidR="006D7125" w:rsidRDefault="00AF2866">
    <w:pPr>
      <w:pStyle w:val="Header"/>
    </w:pPr>
    <w:r>
      <w:rPr>
        <w:noProof/>
      </w:rPr>
      <w:pict w14:anchorId="1C775F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79719" o:spid="_x0000_s2050" type="#_x0000_t136" style="position:absolute;margin-left:0;margin-top:0;width:626.95pt;height:13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53FF" w14:textId="7F782D0D" w:rsidR="00CB1D94" w:rsidRDefault="00AF2866" w:rsidP="00CC76CF">
    <w:pPr>
      <w:pStyle w:val="Header"/>
      <w:jc w:val="right"/>
    </w:pPr>
    <w:r>
      <w:rPr>
        <w:noProof/>
      </w:rPr>
      <w:pict w14:anchorId="2A9C3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79720" o:spid="_x0000_s2051" type="#_x0000_t136" style="position:absolute;left:0;text-align:left;margin-left:0;margin-top:0;width:626.95pt;height:13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 CONFIDENTIAL"/>
          <w10:wrap anchorx="margin" anchory="margin"/>
        </v:shape>
      </w:pict>
    </w:r>
    <w:sdt>
      <w:sdtPr>
        <w:id w:val="-10728980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B1D94">
          <w:fldChar w:fldCharType="begin"/>
        </w:r>
        <w:r w:rsidR="00CB1D94">
          <w:instrText xml:space="preserve"> PAGE   \* MERGEFORMAT </w:instrText>
        </w:r>
        <w:r w:rsidR="00CB1D94">
          <w:fldChar w:fldCharType="separate"/>
        </w:r>
        <w:r w:rsidR="001430C5">
          <w:rPr>
            <w:noProof/>
          </w:rPr>
          <w:t>1</w:t>
        </w:r>
        <w:r w:rsidR="00CB1D94">
          <w:rPr>
            <w:noProof/>
          </w:rPr>
          <w:fldChar w:fldCharType="end"/>
        </w:r>
      </w:sdtContent>
    </w:sdt>
  </w:p>
  <w:p w14:paraId="6C1A2FD5" w14:textId="77777777" w:rsidR="00CB1D94" w:rsidRDefault="00CB1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0369" w14:textId="77777777" w:rsidR="006D7125" w:rsidRDefault="00AF2866">
    <w:pPr>
      <w:pStyle w:val="Header"/>
    </w:pPr>
    <w:r>
      <w:rPr>
        <w:noProof/>
      </w:rPr>
      <w:pict w14:anchorId="468284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79718" o:spid="_x0000_s2049" type="#_x0000_t136" style="position:absolute;margin-left:0;margin-top:0;width:626.95pt;height:13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 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E4E"/>
    <w:multiLevelType w:val="hybridMultilevel"/>
    <w:tmpl w:val="46CC7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2A0F"/>
    <w:multiLevelType w:val="hybridMultilevel"/>
    <w:tmpl w:val="FB6AC630"/>
    <w:lvl w:ilvl="0" w:tplc="A510D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5E05"/>
    <w:multiLevelType w:val="hybridMultilevel"/>
    <w:tmpl w:val="EFF648D0"/>
    <w:lvl w:ilvl="0" w:tplc="E60AB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1CBF"/>
    <w:multiLevelType w:val="hybridMultilevel"/>
    <w:tmpl w:val="5C861E9C"/>
    <w:lvl w:ilvl="0" w:tplc="2098CA4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7C6D"/>
    <w:multiLevelType w:val="hybridMultilevel"/>
    <w:tmpl w:val="AEE0764E"/>
    <w:lvl w:ilvl="0" w:tplc="352400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AA0"/>
    <w:multiLevelType w:val="hybridMultilevel"/>
    <w:tmpl w:val="B062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5A6"/>
    <w:multiLevelType w:val="hybridMultilevel"/>
    <w:tmpl w:val="9DBCC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376D0"/>
    <w:multiLevelType w:val="hybridMultilevel"/>
    <w:tmpl w:val="49048010"/>
    <w:lvl w:ilvl="0" w:tplc="CE7CF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A44BB"/>
    <w:multiLevelType w:val="hybridMultilevel"/>
    <w:tmpl w:val="74F8BBF2"/>
    <w:lvl w:ilvl="0" w:tplc="D2102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7663"/>
    <w:multiLevelType w:val="hybridMultilevel"/>
    <w:tmpl w:val="6108D908"/>
    <w:lvl w:ilvl="0" w:tplc="7FF66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7344F"/>
    <w:multiLevelType w:val="hybridMultilevel"/>
    <w:tmpl w:val="833E8436"/>
    <w:lvl w:ilvl="0" w:tplc="3F727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37B84"/>
    <w:multiLevelType w:val="hybridMultilevel"/>
    <w:tmpl w:val="389E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32BF2"/>
    <w:multiLevelType w:val="hybridMultilevel"/>
    <w:tmpl w:val="5D6EC016"/>
    <w:lvl w:ilvl="0" w:tplc="01F0C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E6322"/>
    <w:multiLevelType w:val="hybridMultilevel"/>
    <w:tmpl w:val="CDC0E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D61BD"/>
    <w:multiLevelType w:val="hybridMultilevel"/>
    <w:tmpl w:val="ABF8C444"/>
    <w:lvl w:ilvl="0" w:tplc="ED020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13AD8"/>
    <w:multiLevelType w:val="hybridMultilevel"/>
    <w:tmpl w:val="3CBA1420"/>
    <w:lvl w:ilvl="0" w:tplc="78B64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A"/>
    <w:rsid w:val="00001AB2"/>
    <w:rsid w:val="00014846"/>
    <w:rsid w:val="00016BB5"/>
    <w:rsid w:val="000203DC"/>
    <w:rsid w:val="00022325"/>
    <w:rsid w:val="00033BB3"/>
    <w:rsid w:val="00043E6D"/>
    <w:rsid w:val="0005349A"/>
    <w:rsid w:val="0005555F"/>
    <w:rsid w:val="00063D01"/>
    <w:rsid w:val="00067DE0"/>
    <w:rsid w:val="00074F18"/>
    <w:rsid w:val="000821A3"/>
    <w:rsid w:val="00084A68"/>
    <w:rsid w:val="00094560"/>
    <w:rsid w:val="000B0AF3"/>
    <w:rsid w:val="000D1EF1"/>
    <w:rsid w:val="000D6BBA"/>
    <w:rsid w:val="000E07E3"/>
    <w:rsid w:val="000E0A22"/>
    <w:rsid w:val="000E2141"/>
    <w:rsid w:val="000E282C"/>
    <w:rsid w:val="000E570E"/>
    <w:rsid w:val="000E5C51"/>
    <w:rsid w:val="000E7F68"/>
    <w:rsid w:val="000F0E82"/>
    <w:rsid w:val="000F6126"/>
    <w:rsid w:val="0010247D"/>
    <w:rsid w:val="00105B09"/>
    <w:rsid w:val="00105D78"/>
    <w:rsid w:val="00107932"/>
    <w:rsid w:val="00126489"/>
    <w:rsid w:val="001276DE"/>
    <w:rsid w:val="001315CB"/>
    <w:rsid w:val="00131AA8"/>
    <w:rsid w:val="0013205E"/>
    <w:rsid w:val="00135F2A"/>
    <w:rsid w:val="001367D4"/>
    <w:rsid w:val="00140A9D"/>
    <w:rsid w:val="001430C5"/>
    <w:rsid w:val="001500C0"/>
    <w:rsid w:val="0015170A"/>
    <w:rsid w:val="00151796"/>
    <w:rsid w:val="00160F7E"/>
    <w:rsid w:val="00161C0F"/>
    <w:rsid w:val="00162A50"/>
    <w:rsid w:val="00166710"/>
    <w:rsid w:val="00171FAE"/>
    <w:rsid w:val="00172BEC"/>
    <w:rsid w:val="001766CE"/>
    <w:rsid w:val="00190A29"/>
    <w:rsid w:val="0019168A"/>
    <w:rsid w:val="001949D3"/>
    <w:rsid w:val="001B18AD"/>
    <w:rsid w:val="001B5EBC"/>
    <w:rsid w:val="001B63EF"/>
    <w:rsid w:val="001C3A22"/>
    <w:rsid w:val="001C3A56"/>
    <w:rsid w:val="001E0363"/>
    <w:rsid w:val="001E67DB"/>
    <w:rsid w:val="001F1529"/>
    <w:rsid w:val="00202C5F"/>
    <w:rsid w:val="00215BBC"/>
    <w:rsid w:val="00220675"/>
    <w:rsid w:val="0022214A"/>
    <w:rsid w:val="0022642B"/>
    <w:rsid w:val="002274BB"/>
    <w:rsid w:val="0023277E"/>
    <w:rsid w:val="002345BC"/>
    <w:rsid w:val="002403CA"/>
    <w:rsid w:val="00244345"/>
    <w:rsid w:val="0024497B"/>
    <w:rsid w:val="0025636B"/>
    <w:rsid w:val="002565B2"/>
    <w:rsid w:val="00262CE9"/>
    <w:rsid w:val="00274BC5"/>
    <w:rsid w:val="00280E53"/>
    <w:rsid w:val="0029237D"/>
    <w:rsid w:val="00293715"/>
    <w:rsid w:val="00293BF8"/>
    <w:rsid w:val="002B3CB5"/>
    <w:rsid w:val="002B46E6"/>
    <w:rsid w:val="002B4BFC"/>
    <w:rsid w:val="002B67C7"/>
    <w:rsid w:val="002C28D5"/>
    <w:rsid w:val="002C4748"/>
    <w:rsid w:val="002D1B61"/>
    <w:rsid w:val="002D5F14"/>
    <w:rsid w:val="002E1304"/>
    <w:rsid w:val="002E1F67"/>
    <w:rsid w:val="002E5BB9"/>
    <w:rsid w:val="002E72B7"/>
    <w:rsid w:val="002F3605"/>
    <w:rsid w:val="002F6782"/>
    <w:rsid w:val="00302FBC"/>
    <w:rsid w:val="00307DE9"/>
    <w:rsid w:val="003237A2"/>
    <w:rsid w:val="00323896"/>
    <w:rsid w:val="0033333E"/>
    <w:rsid w:val="003349D2"/>
    <w:rsid w:val="00340513"/>
    <w:rsid w:val="003559ED"/>
    <w:rsid w:val="003644C3"/>
    <w:rsid w:val="00370F07"/>
    <w:rsid w:val="003762A8"/>
    <w:rsid w:val="003764C7"/>
    <w:rsid w:val="00387624"/>
    <w:rsid w:val="0038783E"/>
    <w:rsid w:val="00387B14"/>
    <w:rsid w:val="00393935"/>
    <w:rsid w:val="00396468"/>
    <w:rsid w:val="003A38F4"/>
    <w:rsid w:val="003A4CAA"/>
    <w:rsid w:val="003A7C95"/>
    <w:rsid w:val="003B6991"/>
    <w:rsid w:val="003B7A9D"/>
    <w:rsid w:val="003C2BAF"/>
    <w:rsid w:val="003C701C"/>
    <w:rsid w:val="003D0B0D"/>
    <w:rsid w:val="003E37ED"/>
    <w:rsid w:val="003E4C76"/>
    <w:rsid w:val="003F5F1E"/>
    <w:rsid w:val="0040207C"/>
    <w:rsid w:val="00402CB1"/>
    <w:rsid w:val="00404595"/>
    <w:rsid w:val="00406B96"/>
    <w:rsid w:val="00415254"/>
    <w:rsid w:val="0041723E"/>
    <w:rsid w:val="00422D1C"/>
    <w:rsid w:val="00436CE8"/>
    <w:rsid w:val="00440DB8"/>
    <w:rsid w:val="00443919"/>
    <w:rsid w:val="0044403D"/>
    <w:rsid w:val="004479D9"/>
    <w:rsid w:val="00461770"/>
    <w:rsid w:val="004631B8"/>
    <w:rsid w:val="00467A64"/>
    <w:rsid w:val="00471074"/>
    <w:rsid w:val="004A3AA0"/>
    <w:rsid w:val="004A3DE8"/>
    <w:rsid w:val="004B2510"/>
    <w:rsid w:val="004B2D6D"/>
    <w:rsid w:val="004B317E"/>
    <w:rsid w:val="004B43F6"/>
    <w:rsid w:val="004C08AE"/>
    <w:rsid w:val="004C3605"/>
    <w:rsid w:val="004C428B"/>
    <w:rsid w:val="004C4AE4"/>
    <w:rsid w:val="004C65D9"/>
    <w:rsid w:val="004D0E40"/>
    <w:rsid w:val="004E0148"/>
    <w:rsid w:val="004E0531"/>
    <w:rsid w:val="004F13FA"/>
    <w:rsid w:val="004F2D1A"/>
    <w:rsid w:val="004F535E"/>
    <w:rsid w:val="00500509"/>
    <w:rsid w:val="005035EE"/>
    <w:rsid w:val="00513757"/>
    <w:rsid w:val="00520889"/>
    <w:rsid w:val="00521669"/>
    <w:rsid w:val="00532D49"/>
    <w:rsid w:val="00533052"/>
    <w:rsid w:val="00533076"/>
    <w:rsid w:val="0054027E"/>
    <w:rsid w:val="00541CB2"/>
    <w:rsid w:val="0054288E"/>
    <w:rsid w:val="00543D33"/>
    <w:rsid w:val="00543EE3"/>
    <w:rsid w:val="00545E8C"/>
    <w:rsid w:val="0055313F"/>
    <w:rsid w:val="005570D6"/>
    <w:rsid w:val="005607AA"/>
    <w:rsid w:val="00573972"/>
    <w:rsid w:val="0057742F"/>
    <w:rsid w:val="00580DEC"/>
    <w:rsid w:val="00587124"/>
    <w:rsid w:val="0059245D"/>
    <w:rsid w:val="00595EC4"/>
    <w:rsid w:val="005A730C"/>
    <w:rsid w:val="005B3565"/>
    <w:rsid w:val="005B3D90"/>
    <w:rsid w:val="005B49B1"/>
    <w:rsid w:val="005B51F8"/>
    <w:rsid w:val="005B5383"/>
    <w:rsid w:val="005B652A"/>
    <w:rsid w:val="005B6ED4"/>
    <w:rsid w:val="005B7844"/>
    <w:rsid w:val="005D2238"/>
    <w:rsid w:val="005D5E01"/>
    <w:rsid w:val="005E2A5E"/>
    <w:rsid w:val="005E2E3D"/>
    <w:rsid w:val="00602326"/>
    <w:rsid w:val="00603EF3"/>
    <w:rsid w:val="00606038"/>
    <w:rsid w:val="006073A6"/>
    <w:rsid w:val="00615998"/>
    <w:rsid w:val="00645D37"/>
    <w:rsid w:val="00647113"/>
    <w:rsid w:val="00647932"/>
    <w:rsid w:val="006552F3"/>
    <w:rsid w:val="00663DD0"/>
    <w:rsid w:val="006645BA"/>
    <w:rsid w:val="00665813"/>
    <w:rsid w:val="006902C4"/>
    <w:rsid w:val="006927D4"/>
    <w:rsid w:val="00696B40"/>
    <w:rsid w:val="006A7831"/>
    <w:rsid w:val="006B16FE"/>
    <w:rsid w:val="006C33EA"/>
    <w:rsid w:val="006D2240"/>
    <w:rsid w:val="006D3060"/>
    <w:rsid w:val="006D59AF"/>
    <w:rsid w:val="006D60BC"/>
    <w:rsid w:val="006D7125"/>
    <w:rsid w:val="006E59E1"/>
    <w:rsid w:val="006E746A"/>
    <w:rsid w:val="006F4823"/>
    <w:rsid w:val="006F72A3"/>
    <w:rsid w:val="007001C7"/>
    <w:rsid w:val="007015E7"/>
    <w:rsid w:val="0072230B"/>
    <w:rsid w:val="007270B8"/>
    <w:rsid w:val="00732101"/>
    <w:rsid w:val="00736CA5"/>
    <w:rsid w:val="00743BB7"/>
    <w:rsid w:val="00746E63"/>
    <w:rsid w:val="00747C2B"/>
    <w:rsid w:val="007522DA"/>
    <w:rsid w:val="00753AB0"/>
    <w:rsid w:val="007740BC"/>
    <w:rsid w:val="007777AF"/>
    <w:rsid w:val="007A4A48"/>
    <w:rsid w:val="007B151A"/>
    <w:rsid w:val="007C00E9"/>
    <w:rsid w:val="007C05D8"/>
    <w:rsid w:val="007C2509"/>
    <w:rsid w:val="007E621F"/>
    <w:rsid w:val="007E7DA8"/>
    <w:rsid w:val="007F0230"/>
    <w:rsid w:val="007F1A91"/>
    <w:rsid w:val="007F3036"/>
    <w:rsid w:val="007F479A"/>
    <w:rsid w:val="00800E44"/>
    <w:rsid w:val="00812175"/>
    <w:rsid w:val="00845F4A"/>
    <w:rsid w:val="0085234A"/>
    <w:rsid w:val="0085631C"/>
    <w:rsid w:val="00866B63"/>
    <w:rsid w:val="00875580"/>
    <w:rsid w:val="00880230"/>
    <w:rsid w:val="00895A74"/>
    <w:rsid w:val="00897DF4"/>
    <w:rsid w:val="008A6E4F"/>
    <w:rsid w:val="008B1E49"/>
    <w:rsid w:val="008B2D46"/>
    <w:rsid w:val="008C64A4"/>
    <w:rsid w:val="008D1914"/>
    <w:rsid w:val="008E36D8"/>
    <w:rsid w:val="008E36F0"/>
    <w:rsid w:val="008E3F07"/>
    <w:rsid w:val="008E4788"/>
    <w:rsid w:val="008E4B46"/>
    <w:rsid w:val="008E5CAF"/>
    <w:rsid w:val="008F495F"/>
    <w:rsid w:val="008F5BBC"/>
    <w:rsid w:val="008F6B9F"/>
    <w:rsid w:val="009024FA"/>
    <w:rsid w:val="009053CA"/>
    <w:rsid w:val="00913659"/>
    <w:rsid w:val="00913676"/>
    <w:rsid w:val="00920C8A"/>
    <w:rsid w:val="00923708"/>
    <w:rsid w:val="00924829"/>
    <w:rsid w:val="00952960"/>
    <w:rsid w:val="009532CF"/>
    <w:rsid w:val="0095346D"/>
    <w:rsid w:val="00955230"/>
    <w:rsid w:val="009642EF"/>
    <w:rsid w:val="00971ACA"/>
    <w:rsid w:val="00973DB2"/>
    <w:rsid w:val="009851F5"/>
    <w:rsid w:val="00997DC5"/>
    <w:rsid w:val="009A05C6"/>
    <w:rsid w:val="009A3BE5"/>
    <w:rsid w:val="009A77E9"/>
    <w:rsid w:val="009B1A57"/>
    <w:rsid w:val="009B56BF"/>
    <w:rsid w:val="009B6FF7"/>
    <w:rsid w:val="009C0E23"/>
    <w:rsid w:val="009D1140"/>
    <w:rsid w:val="009D138C"/>
    <w:rsid w:val="009E0BEC"/>
    <w:rsid w:val="009E0D1B"/>
    <w:rsid w:val="009E4BD7"/>
    <w:rsid w:val="009E5588"/>
    <w:rsid w:val="00A01A7D"/>
    <w:rsid w:val="00A01E58"/>
    <w:rsid w:val="00A07A71"/>
    <w:rsid w:val="00A24BAB"/>
    <w:rsid w:val="00A31BCE"/>
    <w:rsid w:val="00A31C9D"/>
    <w:rsid w:val="00A34AD8"/>
    <w:rsid w:val="00A45178"/>
    <w:rsid w:val="00A45E17"/>
    <w:rsid w:val="00A50494"/>
    <w:rsid w:val="00A5397D"/>
    <w:rsid w:val="00A77ED7"/>
    <w:rsid w:val="00A81499"/>
    <w:rsid w:val="00A830A6"/>
    <w:rsid w:val="00A92B67"/>
    <w:rsid w:val="00AB126D"/>
    <w:rsid w:val="00AB1C16"/>
    <w:rsid w:val="00AB2620"/>
    <w:rsid w:val="00AB402C"/>
    <w:rsid w:val="00AB4B1F"/>
    <w:rsid w:val="00AB539F"/>
    <w:rsid w:val="00AC6A53"/>
    <w:rsid w:val="00AD1D16"/>
    <w:rsid w:val="00AE3AEA"/>
    <w:rsid w:val="00AF0934"/>
    <w:rsid w:val="00AF0FBA"/>
    <w:rsid w:val="00AF2866"/>
    <w:rsid w:val="00B03EC4"/>
    <w:rsid w:val="00B06DE4"/>
    <w:rsid w:val="00B20522"/>
    <w:rsid w:val="00B24BB5"/>
    <w:rsid w:val="00B253BA"/>
    <w:rsid w:val="00B46045"/>
    <w:rsid w:val="00B657C0"/>
    <w:rsid w:val="00B667C4"/>
    <w:rsid w:val="00B66DF0"/>
    <w:rsid w:val="00B7222C"/>
    <w:rsid w:val="00B722D2"/>
    <w:rsid w:val="00B73D79"/>
    <w:rsid w:val="00B808B9"/>
    <w:rsid w:val="00B93FE6"/>
    <w:rsid w:val="00BA069D"/>
    <w:rsid w:val="00BA15E6"/>
    <w:rsid w:val="00BA432A"/>
    <w:rsid w:val="00BA7823"/>
    <w:rsid w:val="00BA78BD"/>
    <w:rsid w:val="00BB1BDD"/>
    <w:rsid w:val="00BB5477"/>
    <w:rsid w:val="00BC12A2"/>
    <w:rsid w:val="00BC18AC"/>
    <w:rsid w:val="00BD61D0"/>
    <w:rsid w:val="00BD74A4"/>
    <w:rsid w:val="00BD792A"/>
    <w:rsid w:val="00BE18FF"/>
    <w:rsid w:val="00BE1E98"/>
    <w:rsid w:val="00BE75E9"/>
    <w:rsid w:val="00BE79A1"/>
    <w:rsid w:val="00BE79D9"/>
    <w:rsid w:val="00BF1614"/>
    <w:rsid w:val="00BF4152"/>
    <w:rsid w:val="00C03793"/>
    <w:rsid w:val="00C0772A"/>
    <w:rsid w:val="00C20089"/>
    <w:rsid w:val="00C32187"/>
    <w:rsid w:val="00C362DC"/>
    <w:rsid w:val="00C411FB"/>
    <w:rsid w:val="00C52996"/>
    <w:rsid w:val="00C577AF"/>
    <w:rsid w:val="00C61F0A"/>
    <w:rsid w:val="00C73675"/>
    <w:rsid w:val="00C745CD"/>
    <w:rsid w:val="00C77239"/>
    <w:rsid w:val="00C8374F"/>
    <w:rsid w:val="00CA33C9"/>
    <w:rsid w:val="00CB1D94"/>
    <w:rsid w:val="00CB38E6"/>
    <w:rsid w:val="00CB55A1"/>
    <w:rsid w:val="00CC76CF"/>
    <w:rsid w:val="00CD472E"/>
    <w:rsid w:val="00CF0117"/>
    <w:rsid w:val="00CF263C"/>
    <w:rsid w:val="00D003A9"/>
    <w:rsid w:val="00D01476"/>
    <w:rsid w:val="00D0624E"/>
    <w:rsid w:val="00D14E55"/>
    <w:rsid w:val="00D234E2"/>
    <w:rsid w:val="00D23AC1"/>
    <w:rsid w:val="00D2566F"/>
    <w:rsid w:val="00D2644C"/>
    <w:rsid w:val="00D32612"/>
    <w:rsid w:val="00D41947"/>
    <w:rsid w:val="00D522E9"/>
    <w:rsid w:val="00D57DFA"/>
    <w:rsid w:val="00D57F99"/>
    <w:rsid w:val="00D6054B"/>
    <w:rsid w:val="00D63AC8"/>
    <w:rsid w:val="00D72CAD"/>
    <w:rsid w:val="00DA35D7"/>
    <w:rsid w:val="00DA5393"/>
    <w:rsid w:val="00DA640B"/>
    <w:rsid w:val="00DB3642"/>
    <w:rsid w:val="00DB5F33"/>
    <w:rsid w:val="00DB6906"/>
    <w:rsid w:val="00DC4A6F"/>
    <w:rsid w:val="00DC5517"/>
    <w:rsid w:val="00DD46D7"/>
    <w:rsid w:val="00DD5D60"/>
    <w:rsid w:val="00DE54F6"/>
    <w:rsid w:val="00DF1662"/>
    <w:rsid w:val="00DF17AF"/>
    <w:rsid w:val="00DF4824"/>
    <w:rsid w:val="00E24BB6"/>
    <w:rsid w:val="00E32176"/>
    <w:rsid w:val="00E35405"/>
    <w:rsid w:val="00E44BD8"/>
    <w:rsid w:val="00E47ED5"/>
    <w:rsid w:val="00E53262"/>
    <w:rsid w:val="00E54F9B"/>
    <w:rsid w:val="00E57C58"/>
    <w:rsid w:val="00E70FBD"/>
    <w:rsid w:val="00E743F6"/>
    <w:rsid w:val="00E74A91"/>
    <w:rsid w:val="00E76BF4"/>
    <w:rsid w:val="00E80331"/>
    <w:rsid w:val="00E9147A"/>
    <w:rsid w:val="00E93319"/>
    <w:rsid w:val="00E93D07"/>
    <w:rsid w:val="00EA0EB7"/>
    <w:rsid w:val="00EA26D1"/>
    <w:rsid w:val="00EA6F3E"/>
    <w:rsid w:val="00EA7DAE"/>
    <w:rsid w:val="00EB1728"/>
    <w:rsid w:val="00EF1E99"/>
    <w:rsid w:val="00EF3CC8"/>
    <w:rsid w:val="00EF490A"/>
    <w:rsid w:val="00EF6E72"/>
    <w:rsid w:val="00F05843"/>
    <w:rsid w:val="00F06987"/>
    <w:rsid w:val="00F06D13"/>
    <w:rsid w:val="00F27B9B"/>
    <w:rsid w:val="00F27ECE"/>
    <w:rsid w:val="00F34F70"/>
    <w:rsid w:val="00F36FAA"/>
    <w:rsid w:val="00F4697E"/>
    <w:rsid w:val="00F4769B"/>
    <w:rsid w:val="00F550C3"/>
    <w:rsid w:val="00F554EF"/>
    <w:rsid w:val="00F57941"/>
    <w:rsid w:val="00F6077D"/>
    <w:rsid w:val="00F624DD"/>
    <w:rsid w:val="00F643FC"/>
    <w:rsid w:val="00F7023A"/>
    <w:rsid w:val="00F81D2D"/>
    <w:rsid w:val="00F825CC"/>
    <w:rsid w:val="00F94CD7"/>
    <w:rsid w:val="00F960DD"/>
    <w:rsid w:val="00F96655"/>
    <w:rsid w:val="00FA16D3"/>
    <w:rsid w:val="00FA274E"/>
    <w:rsid w:val="00FB3458"/>
    <w:rsid w:val="00FB5803"/>
    <w:rsid w:val="00FD1EE8"/>
    <w:rsid w:val="00FD6075"/>
    <w:rsid w:val="00FD7547"/>
    <w:rsid w:val="00FE2D30"/>
    <w:rsid w:val="00FE41EA"/>
    <w:rsid w:val="00FE7B67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21279C8"/>
  <w15:docId w15:val="{AA57BDDC-6D1F-42F3-9C47-3B571E6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7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7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C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2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2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29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C4A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press/en/2018/dsgsm1203.doc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D00B-8F61-420F-85AC-24811D8D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Christiansen</dc:creator>
  <cp:keywords/>
  <dc:description/>
  <cp:lastModifiedBy>Joseph Gichuki</cp:lastModifiedBy>
  <cp:revision>2</cp:revision>
  <cp:lastPrinted>2018-09-12T13:54:00Z</cp:lastPrinted>
  <dcterms:created xsi:type="dcterms:W3CDTF">2019-01-22T09:15:00Z</dcterms:created>
  <dcterms:modified xsi:type="dcterms:W3CDTF">2019-01-22T09:15:00Z</dcterms:modified>
</cp:coreProperties>
</file>